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7B97E" w14:textId="53C509D4" w:rsidR="00DB5475" w:rsidRPr="007F541B" w:rsidRDefault="175E17DF" w:rsidP="00DB5475">
      <w:pPr>
        <w:pStyle w:val="NoSpacing"/>
        <w:spacing w:line="276" w:lineRule="auto"/>
        <w:jc w:val="right"/>
        <w:rPr>
          <w:rFonts w:ascii="Bookman Old Style" w:hAnsi="Bookman Old Style"/>
          <w:sz w:val="18"/>
          <w:szCs w:val="18"/>
          <w:lang w:val="id-ID"/>
        </w:rPr>
      </w:pPr>
      <w:r w:rsidRPr="175E17DF">
        <w:rPr>
          <w:rFonts w:ascii="Bookman Old Style" w:hAnsi="Bookman Old Style"/>
          <w:sz w:val="22"/>
          <w:szCs w:val="22"/>
          <w:lang w:val="id-ID"/>
        </w:rPr>
        <w:t> </w:t>
      </w:r>
      <w:r w:rsidR="00DB5475">
        <w:tab/>
      </w:r>
      <w:r w:rsidR="00DB5475">
        <w:tab/>
      </w:r>
      <w:r w:rsidR="00DB5475">
        <w:tab/>
      </w:r>
      <w:r w:rsidR="00DB5475">
        <w:tab/>
      </w:r>
      <w:r w:rsidR="00DB5475">
        <w:tab/>
      </w:r>
      <w:r w:rsidR="00DB5475">
        <w:tab/>
      </w:r>
      <w:r w:rsidR="00DB5475">
        <w:tab/>
      </w:r>
      <w:r w:rsidR="00DB5475">
        <w:tab/>
      </w:r>
      <w:r w:rsidRPr="175E17DF">
        <w:rPr>
          <w:rFonts w:ascii="Bookman Old Style" w:hAnsi="Bookman Old Style"/>
          <w:sz w:val="18"/>
          <w:szCs w:val="18"/>
          <w:lang w:val="id-ID"/>
        </w:rPr>
        <w:t>SP 115/GKPB/OJK/VIII/2025 </w:t>
      </w:r>
    </w:p>
    <w:p w14:paraId="3793D93C" w14:textId="77777777" w:rsidR="00DB5475" w:rsidRPr="007F541B" w:rsidRDefault="00DB5475" w:rsidP="00DB5475">
      <w:pPr>
        <w:spacing w:after="0" w:line="276" w:lineRule="auto"/>
        <w:jc w:val="center"/>
        <w:rPr>
          <w:rFonts w:ascii="Bookman Old Style" w:hAnsi="Bookman Old Style"/>
          <w:b/>
          <w:bCs/>
          <w:sz w:val="22"/>
          <w:szCs w:val="22"/>
          <w:lang w:val="id-ID"/>
        </w:rPr>
      </w:pPr>
    </w:p>
    <w:p w14:paraId="3E01B10F" w14:textId="1D931EAC" w:rsidR="00DB5475" w:rsidRPr="007F541B" w:rsidRDefault="00DB5475" w:rsidP="00DB5475">
      <w:pPr>
        <w:spacing w:after="0" w:line="276" w:lineRule="auto"/>
        <w:jc w:val="center"/>
        <w:rPr>
          <w:rFonts w:ascii="Bookman Old Style" w:hAnsi="Bookman Old Style"/>
          <w:b/>
          <w:bCs/>
          <w:sz w:val="22"/>
          <w:szCs w:val="22"/>
          <w:lang w:val="id-ID"/>
        </w:rPr>
      </w:pPr>
      <w:r w:rsidRPr="007F541B">
        <w:rPr>
          <w:rFonts w:ascii="Bookman Old Style" w:hAnsi="Bookman Old Style"/>
          <w:b/>
          <w:bCs/>
          <w:sz w:val="22"/>
          <w:szCs w:val="22"/>
          <w:lang w:val="id-ID"/>
        </w:rPr>
        <w:t>SIARAN PERS RDKB JU</w:t>
      </w:r>
      <w:r w:rsidR="00FC7CBB" w:rsidRPr="007F541B">
        <w:rPr>
          <w:rFonts w:ascii="Bookman Old Style" w:hAnsi="Bookman Old Style"/>
          <w:b/>
          <w:bCs/>
          <w:sz w:val="22"/>
          <w:szCs w:val="22"/>
          <w:lang w:val="id-ID"/>
        </w:rPr>
        <w:t>L</w:t>
      </w:r>
      <w:r w:rsidRPr="007F541B">
        <w:rPr>
          <w:rFonts w:ascii="Bookman Old Style" w:hAnsi="Bookman Old Style"/>
          <w:b/>
          <w:bCs/>
          <w:sz w:val="22"/>
          <w:szCs w:val="22"/>
          <w:lang w:val="id-ID"/>
        </w:rPr>
        <w:t xml:space="preserve">I 2025 </w:t>
      </w:r>
    </w:p>
    <w:p w14:paraId="2870D768" w14:textId="0B4A795C" w:rsidR="00DB5475" w:rsidRPr="00D6168E" w:rsidRDefault="00DB5475" w:rsidP="008412D3">
      <w:pPr>
        <w:spacing w:before="120" w:after="0" w:line="276" w:lineRule="auto"/>
        <w:jc w:val="center"/>
        <w:rPr>
          <w:rFonts w:ascii="Bookman Old Style" w:hAnsi="Bookman Old Style"/>
          <w:b/>
          <w:color w:val="000000" w:themeColor="text1"/>
          <w:sz w:val="22"/>
          <w:szCs w:val="22"/>
          <w:lang w:val="id-ID"/>
        </w:rPr>
      </w:pPr>
      <w:r w:rsidRPr="00D6168E">
        <w:rPr>
          <w:rFonts w:ascii="Bookman Old Style" w:hAnsi="Bookman Old Style"/>
          <w:b/>
          <w:color w:val="000000" w:themeColor="text1"/>
          <w:sz w:val="22"/>
          <w:szCs w:val="22"/>
          <w:lang w:val="id-ID"/>
        </w:rPr>
        <w:t xml:space="preserve">SEKTOR JASA KEUANGAN </w:t>
      </w:r>
      <w:r w:rsidR="002E36DF" w:rsidRPr="00D6168E">
        <w:rPr>
          <w:rFonts w:ascii="Bookman Old Style" w:hAnsi="Bookman Old Style"/>
          <w:b/>
          <w:color w:val="000000" w:themeColor="text1"/>
          <w:sz w:val="22"/>
          <w:szCs w:val="22"/>
          <w:lang w:val="id-ID"/>
        </w:rPr>
        <w:t xml:space="preserve">YANG </w:t>
      </w:r>
      <w:r w:rsidR="002E36DF" w:rsidRPr="00D6168E">
        <w:rPr>
          <w:rFonts w:ascii="Bookman Old Style" w:hAnsi="Bookman Old Style"/>
          <w:b/>
          <w:i/>
          <w:iCs/>
          <w:color w:val="000000" w:themeColor="text1"/>
          <w:sz w:val="22"/>
          <w:szCs w:val="22"/>
          <w:lang w:val="id-ID"/>
        </w:rPr>
        <w:t>RESILIENT</w:t>
      </w:r>
    </w:p>
    <w:p w14:paraId="271EC99A" w14:textId="431E72B9" w:rsidR="00973B3C" w:rsidRPr="00D6168E" w:rsidRDefault="001843DE" w:rsidP="00DB5475">
      <w:pPr>
        <w:spacing w:after="0" w:line="276" w:lineRule="auto"/>
        <w:jc w:val="center"/>
        <w:rPr>
          <w:rFonts w:ascii="Bookman Old Style" w:hAnsi="Bookman Old Style"/>
          <w:b/>
          <w:color w:val="000000" w:themeColor="text1"/>
          <w:sz w:val="22"/>
          <w:szCs w:val="22"/>
          <w:lang w:val="id-ID"/>
        </w:rPr>
      </w:pPr>
      <w:r w:rsidRPr="00D6168E">
        <w:rPr>
          <w:rFonts w:ascii="Bookman Old Style" w:hAnsi="Bookman Old Style"/>
          <w:b/>
          <w:color w:val="000000" w:themeColor="text1"/>
          <w:sz w:val="22"/>
          <w:szCs w:val="22"/>
          <w:lang w:val="id-ID"/>
        </w:rPr>
        <w:t>UNTUK</w:t>
      </w:r>
      <w:r w:rsidR="0082332D" w:rsidRPr="00D6168E">
        <w:rPr>
          <w:rFonts w:ascii="Bookman Old Style" w:hAnsi="Bookman Old Style"/>
          <w:b/>
          <w:color w:val="000000" w:themeColor="text1"/>
          <w:sz w:val="22"/>
          <w:szCs w:val="22"/>
          <w:lang w:val="id-ID"/>
        </w:rPr>
        <w:t xml:space="preserve"> </w:t>
      </w:r>
      <w:r w:rsidR="00973B3C" w:rsidRPr="00D6168E">
        <w:rPr>
          <w:rFonts w:ascii="Bookman Old Style" w:hAnsi="Bookman Old Style"/>
          <w:b/>
          <w:color w:val="000000" w:themeColor="text1"/>
          <w:sz w:val="22"/>
          <w:szCs w:val="22"/>
          <w:lang w:val="id-ID"/>
        </w:rPr>
        <w:t>MENDUKUNG PERCEPATAN PE</w:t>
      </w:r>
      <w:r w:rsidR="002B0D3F" w:rsidRPr="00D6168E">
        <w:rPr>
          <w:rFonts w:ascii="Bookman Old Style" w:hAnsi="Bookman Old Style"/>
          <w:b/>
          <w:color w:val="000000" w:themeColor="text1"/>
          <w:sz w:val="22"/>
          <w:szCs w:val="22"/>
          <w:lang w:val="id-ID"/>
        </w:rPr>
        <w:t>RTUMBUHAN EKONOMI NASIONAL</w:t>
      </w:r>
    </w:p>
    <w:p w14:paraId="0C046EC0" w14:textId="77777777" w:rsidR="00DB5475" w:rsidRPr="007F541B" w:rsidRDefault="00DB5475" w:rsidP="00DB5475">
      <w:pPr>
        <w:spacing w:after="0" w:line="276" w:lineRule="auto"/>
        <w:jc w:val="center"/>
        <w:rPr>
          <w:rFonts w:ascii="Bookman Old Style" w:hAnsi="Bookman Old Style"/>
          <w:sz w:val="22"/>
          <w:szCs w:val="22"/>
          <w:lang w:val="id-ID"/>
        </w:rPr>
      </w:pPr>
      <w:r w:rsidRPr="007F541B">
        <w:rPr>
          <w:rFonts w:ascii="Bookman Old Style" w:hAnsi="Bookman Old Style"/>
          <w:b/>
          <w:bCs/>
          <w:noProof/>
          <w:sz w:val="22"/>
          <w:szCs w:val="22"/>
          <w:lang w:val="id-ID"/>
        </w:rPr>
        <mc:AlternateContent>
          <mc:Choice Requires="wps">
            <w:drawing>
              <wp:anchor distT="0" distB="0" distL="114300" distR="114300" simplePos="0" relativeHeight="251658240" behindDoc="0" locked="0" layoutInCell="1" allowOverlap="1" wp14:anchorId="6248258C" wp14:editId="04D551B1">
                <wp:simplePos x="0" y="0"/>
                <wp:positionH relativeFrom="column">
                  <wp:posOffset>16510</wp:posOffset>
                </wp:positionH>
                <wp:positionV relativeFrom="paragraph">
                  <wp:posOffset>48155</wp:posOffset>
                </wp:positionV>
                <wp:extent cx="5716270" cy="0"/>
                <wp:effectExtent l="0" t="12700" r="24130" b="12700"/>
                <wp:wrapNone/>
                <wp:docPr id="1776095253" name="Straight Connector 3"/>
                <wp:cNvGraphicFramePr/>
                <a:graphic xmlns:a="http://schemas.openxmlformats.org/drawingml/2006/main">
                  <a:graphicData uri="http://schemas.microsoft.com/office/word/2010/wordprocessingShape">
                    <wps:wsp>
                      <wps:cNvCnPr/>
                      <wps:spPr>
                        <a:xfrm>
                          <a:off x="0" y="0"/>
                          <a:ext cx="571627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0EC1980E">
              <v:line id="Straight Connector 3"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from="1.3pt,3.8pt" to="451.4pt,3.8pt" w14:anchorId="2DA42B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">
                <v:stroke joinstyle="miter"/>
              </v:line>
            </w:pict>
          </mc:Fallback>
        </mc:AlternateContent>
      </w:r>
    </w:p>
    <w:p w14:paraId="2119778C" w14:textId="2A1AA960" w:rsidR="00DB5475" w:rsidRPr="007F541B" w:rsidRDefault="00DB5475" w:rsidP="00DB5475">
      <w:pPr>
        <w:spacing w:after="120" w:line="276" w:lineRule="auto"/>
        <w:jc w:val="both"/>
        <w:rPr>
          <w:rFonts w:ascii="Bookman Old Style" w:hAnsi="Bookman Old Style"/>
          <w:sz w:val="22"/>
          <w:szCs w:val="22"/>
          <w:lang w:val="id-ID"/>
        </w:rPr>
      </w:pPr>
      <w:r w:rsidRPr="007F541B">
        <w:rPr>
          <w:rFonts w:ascii="Bookman Old Style" w:hAnsi="Bookman Old Style"/>
          <w:b/>
          <w:sz w:val="22"/>
          <w:szCs w:val="22"/>
          <w:lang w:val="id-ID"/>
        </w:rPr>
        <w:t xml:space="preserve">Jakarta, </w:t>
      </w:r>
      <w:r w:rsidR="00FC7CBB" w:rsidRPr="007F541B">
        <w:rPr>
          <w:rFonts w:ascii="Bookman Old Style" w:hAnsi="Bookman Old Style"/>
          <w:b/>
          <w:sz w:val="22"/>
          <w:szCs w:val="22"/>
          <w:lang w:val="id-ID"/>
        </w:rPr>
        <w:t>4 Agustus</w:t>
      </w:r>
      <w:r w:rsidRPr="007F541B">
        <w:rPr>
          <w:rFonts w:ascii="Bookman Old Style" w:hAnsi="Bookman Old Style"/>
          <w:b/>
          <w:sz w:val="22"/>
          <w:szCs w:val="22"/>
          <w:lang w:val="id-ID"/>
        </w:rPr>
        <w:t xml:space="preserve"> 2025.</w:t>
      </w:r>
      <w:r w:rsidRPr="007F541B">
        <w:rPr>
          <w:rFonts w:ascii="Bookman Old Style" w:hAnsi="Bookman Old Style"/>
          <w:b/>
          <w:bCs/>
          <w:sz w:val="22"/>
          <w:szCs w:val="22"/>
          <w:lang w:val="id-ID"/>
        </w:rPr>
        <w:t xml:space="preserve"> </w:t>
      </w:r>
      <w:r w:rsidRPr="007F541B">
        <w:rPr>
          <w:rFonts w:ascii="Bookman Old Style" w:hAnsi="Bookman Old Style"/>
          <w:sz w:val="22"/>
          <w:szCs w:val="22"/>
          <w:lang w:val="id-ID"/>
        </w:rPr>
        <w:t xml:space="preserve">Rapat Dewan Komisioner Bulanan Otoritas Jasa Keuangan (OJK) pada </w:t>
      </w:r>
      <w:r w:rsidR="00FC7CBB" w:rsidRPr="007F541B">
        <w:rPr>
          <w:rFonts w:ascii="Bookman Old Style" w:hAnsi="Bookman Old Style"/>
          <w:sz w:val="22"/>
          <w:szCs w:val="22"/>
          <w:lang w:val="id-ID"/>
        </w:rPr>
        <w:t>30 Juli</w:t>
      </w:r>
      <w:r w:rsidRPr="007F541B">
        <w:rPr>
          <w:rFonts w:ascii="Bookman Old Style" w:hAnsi="Bookman Old Style"/>
          <w:sz w:val="22"/>
          <w:szCs w:val="22"/>
          <w:lang w:val="id-ID"/>
        </w:rPr>
        <w:t xml:space="preserve"> 2025 menilai stabilitas Sektor Jasa Keuangan (SJK) tetap terjaga.</w:t>
      </w:r>
    </w:p>
    <w:p w14:paraId="690BE763" w14:textId="7684128B" w:rsidR="00DB5475" w:rsidRPr="007F541B" w:rsidRDefault="00DB5475" w:rsidP="00DB5475">
      <w:pPr>
        <w:spacing w:after="120" w:line="276" w:lineRule="auto"/>
        <w:jc w:val="both"/>
        <w:rPr>
          <w:rFonts w:ascii="Bookman Old Style" w:hAnsi="Bookman Old Style"/>
          <w:sz w:val="22"/>
          <w:szCs w:val="22"/>
          <w:lang w:val="id-ID"/>
        </w:rPr>
      </w:pPr>
      <w:r w:rsidRPr="007F541B">
        <w:rPr>
          <w:rFonts w:ascii="Bookman Old Style" w:hAnsi="Bookman Old Style"/>
          <w:sz w:val="22"/>
          <w:szCs w:val="22"/>
          <w:lang w:val="id-ID"/>
        </w:rPr>
        <w:t xml:space="preserve">Dalam laporan terbarunya, </w:t>
      </w:r>
      <w:r w:rsidR="00D405DC" w:rsidRPr="00D6168E">
        <w:rPr>
          <w:rFonts w:ascii="Bookman Old Style" w:hAnsi="Bookman Old Style"/>
          <w:i/>
          <w:iCs/>
          <w:sz w:val="22"/>
          <w:szCs w:val="22"/>
          <w:lang w:val="id-ID"/>
        </w:rPr>
        <w:t>Interna</w:t>
      </w:r>
      <w:r w:rsidR="00A24EA8" w:rsidRPr="00D6168E">
        <w:rPr>
          <w:rFonts w:ascii="Bookman Old Style" w:hAnsi="Bookman Old Style"/>
          <w:i/>
          <w:iCs/>
          <w:sz w:val="22"/>
          <w:szCs w:val="22"/>
          <w:lang w:val="id-ID"/>
        </w:rPr>
        <w:t>tional Monetary Fund</w:t>
      </w:r>
      <w:r w:rsidR="004D68BF" w:rsidRPr="007F541B">
        <w:rPr>
          <w:rFonts w:ascii="Bookman Old Style" w:hAnsi="Bookman Old Style"/>
          <w:sz w:val="22"/>
          <w:szCs w:val="22"/>
          <w:lang w:val="id-ID"/>
        </w:rPr>
        <w:t xml:space="preserve"> </w:t>
      </w:r>
      <w:r w:rsidR="00B2031A" w:rsidRPr="007F541B">
        <w:rPr>
          <w:rFonts w:ascii="Bookman Old Style" w:hAnsi="Bookman Old Style"/>
          <w:sz w:val="22"/>
          <w:szCs w:val="22"/>
          <w:lang w:val="id-ID"/>
        </w:rPr>
        <w:t>meningkatkan</w:t>
      </w:r>
      <w:r w:rsidR="00703337" w:rsidRPr="007F541B">
        <w:rPr>
          <w:rFonts w:ascii="Bookman Old Style" w:hAnsi="Bookman Old Style"/>
          <w:sz w:val="22"/>
          <w:szCs w:val="22"/>
          <w:lang w:val="id-ID"/>
        </w:rPr>
        <w:t xml:space="preserve"> </w:t>
      </w:r>
      <w:r w:rsidR="00954409" w:rsidRPr="007F541B">
        <w:rPr>
          <w:rFonts w:ascii="Bookman Old Style" w:hAnsi="Bookman Old Style"/>
          <w:sz w:val="22"/>
          <w:szCs w:val="22"/>
          <w:lang w:val="id-ID"/>
        </w:rPr>
        <w:t xml:space="preserve">proyeksi </w:t>
      </w:r>
      <w:r w:rsidR="00EA5C99" w:rsidRPr="007F541B">
        <w:rPr>
          <w:rFonts w:ascii="Bookman Old Style" w:hAnsi="Bookman Old Style"/>
          <w:sz w:val="22"/>
          <w:szCs w:val="22"/>
          <w:lang w:val="id-ID"/>
        </w:rPr>
        <w:t>pertumbuhan ekonomi global</w:t>
      </w:r>
      <w:r w:rsidR="002467BB" w:rsidRPr="007F541B">
        <w:rPr>
          <w:rFonts w:ascii="Bookman Old Style" w:hAnsi="Bookman Old Style"/>
          <w:sz w:val="22"/>
          <w:szCs w:val="22"/>
          <w:lang w:val="id-ID"/>
        </w:rPr>
        <w:t>,</w:t>
      </w:r>
      <w:r w:rsidR="00557C79" w:rsidRPr="007F541B">
        <w:rPr>
          <w:rFonts w:ascii="Bookman Old Style" w:hAnsi="Bookman Old Style"/>
          <w:sz w:val="22"/>
          <w:szCs w:val="22"/>
          <w:lang w:val="id-ID"/>
        </w:rPr>
        <w:t xml:space="preserve"> termasuk </w:t>
      </w:r>
      <w:r w:rsidR="0032506C" w:rsidRPr="007F541B">
        <w:rPr>
          <w:rFonts w:ascii="Bookman Old Style" w:hAnsi="Bookman Old Style"/>
          <w:sz w:val="22"/>
          <w:szCs w:val="22"/>
          <w:lang w:val="id-ID"/>
        </w:rPr>
        <w:t>pertumbuhan ekonomi</w:t>
      </w:r>
      <w:r w:rsidR="00557C79" w:rsidRPr="007F541B">
        <w:rPr>
          <w:rFonts w:ascii="Bookman Old Style" w:hAnsi="Bookman Old Style"/>
          <w:sz w:val="22"/>
          <w:szCs w:val="22"/>
          <w:lang w:val="id-ID"/>
        </w:rPr>
        <w:t xml:space="preserve"> Indonesia</w:t>
      </w:r>
      <w:r w:rsidR="00F67F4C" w:rsidRPr="007F541B">
        <w:rPr>
          <w:rFonts w:ascii="Bookman Old Style" w:hAnsi="Bookman Old Style"/>
          <w:sz w:val="22"/>
          <w:szCs w:val="22"/>
          <w:lang w:val="id-ID"/>
        </w:rPr>
        <w:t xml:space="preserve"> di tahun 2025 dan 2026</w:t>
      </w:r>
      <w:r w:rsidR="00557C79" w:rsidRPr="007F541B">
        <w:rPr>
          <w:rFonts w:ascii="Bookman Old Style" w:hAnsi="Bookman Old Style"/>
          <w:sz w:val="22"/>
          <w:szCs w:val="22"/>
          <w:lang w:val="id-ID"/>
        </w:rPr>
        <w:t xml:space="preserve">. </w:t>
      </w:r>
      <w:r w:rsidR="00041BBD" w:rsidRPr="007F541B">
        <w:rPr>
          <w:rFonts w:ascii="Bookman Old Style" w:hAnsi="Bookman Old Style"/>
          <w:sz w:val="22"/>
          <w:szCs w:val="22"/>
          <w:lang w:val="id-ID"/>
        </w:rPr>
        <w:t>Peningkatan ini</w:t>
      </w:r>
      <w:r w:rsidR="00960E10" w:rsidRPr="007F541B">
        <w:rPr>
          <w:rFonts w:ascii="Bookman Old Style" w:hAnsi="Bookman Old Style"/>
          <w:sz w:val="22"/>
          <w:szCs w:val="22"/>
          <w:lang w:val="id-ID"/>
        </w:rPr>
        <w:t xml:space="preserve"> didorong oleh aktivitas ekonomi </w:t>
      </w:r>
      <w:r w:rsidR="009D3D0D" w:rsidRPr="007F541B">
        <w:rPr>
          <w:rFonts w:ascii="Bookman Old Style" w:hAnsi="Bookman Old Style"/>
          <w:sz w:val="22"/>
          <w:szCs w:val="22"/>
          <w:lang w:val="id-ID"/>
        </w:rPr>
        <w:t>pada semester pertama</w:t>
      </w:r>
      <w:r w:rsidR="00960E10" w:rsidRPr="007F541B">
        <w:rPr>
          <w:rFonts w:ascii="Bookman Old Style" w:hAnsi="Bookman Old Style"/>
          <w:sz w:val="22"/>
          <w:szCs w:val="22"/>
          <w:lang w:val="id-ID"/>
        </w:rPr>
        <w:t xml:space="preserve"> </w:t>
      </w:r>
      <w:r w:rsidR="009A2B29" w:rsidRPr="007F541B">
        <w:rPr>
          <w:rFonts w:ascii="Bookman Old Style" w:hAnsi="Bookman Old Style"/>
          <w:sz w:val="22"/>
          <w:szCs w:val="22"/>
          <w:lang w:val="id-ID"/>
        </w:rPr>
        <w:t xml:space="preserve">2025 </w:t>
      </w:r>
      <w:r w:rsidR="00960E10" w:rsidRPr="007F541B" w:rsidDel="00AA53CD">
        <w:rPr>
          <w:rFonts w:ascii="Bookman Old Style" w:hAnsi="Bookman Old Style"/>
          <w:sz w:val="22"/>
          <w:szCs w:val="22"/>
          <w:lang w:val="id-ID"/>
        </w:rPr>
        <w:t xml:space="preserve">yang </w:t>
      </w:r>
      <w:r w:rsidR="00960E10" w:rsidRPr="007F541B">
        <w:rPr>
          <w:rFonts w:ascii="Bookman Old Style" w:hAnsi="Bookman Old Style"/>
          <w:sz w:val="22"/>
          <w:szCs w:val="22"/>
          <w:lang w:val="id-ID"/>
        </w:rPr>
        <w:t>lebih baik dari proyeksi awal</w:t>
      </w:r>
      <w:r w:rsidR="00AA53CD" w:rsidRPr="007F541B">
        <w:rPr>
          <w:rFonts w:ascii="Bookman Old Style" w:hAnsi="Bookman Old Style"/>
          <w:sz w:val="22"/>
          <w:szCs w:val="22"/>
          <w:lang w:val="id-ID"/>
        </w:rPr>
        <w:t xml:space="preserve">, tarif </w:t>
      </w:r>
      <w:r w:rsidR="001B74E9" w:rsidRPr="007F541B">
        <w:rPr>
          <w:rFonts w:ascii="Bookman Old Style" w:hAnsi="Bookman Old Style"/>
          <w:sz w:val="22"/>
          <w:szCs w:val="22"/>
          <w:lang w:val="id-ID"/>
        </w:rPr>
        <w:t xml:space="preserve">resiprokal </w:t>
      </w:r>
      <w:r w:rsidR="00744343" w:rsidRPr="007F541B">
        <w:rPr>
          <w:rFonts w:ascii="Bookman Old Style" w:hAnsi="Bookman Old Style"/>
          <w:sz w:val="22"/>
          <w:szCs w:val="22"/>
          <w:lang w:val="id-ID"/>
        </w:rPr>
        <w:t xml:space="preserve">Amerika Serikat </w:t>
      </w:r>
      <w:r w:rsidR="00744343">
        <w:rPr>
          <w:rFonts w:ascii="Bookman Old Style" w:hAnsi="Bookman Old Style"/>
          <w:sz w:val="22"/>
          <w:szCs w:val="22"/>
          <w:lang w:val="id-ID"/>
        </w:rPr>
        <w:t>(</w:t>
      </w:r>
      <w:r w:rsidR="001B74E9" w:rsidRPr="007F541B">
        <w:rPr>
          <w:rFonts w:ascii="Bookman Old Style" w:hAnsi="Bookman Old Style"/>
          <w:sz w:val="22"/>
          <w:szCs w:val="22"/>
          <w:lang w:val="id-ID"/>
        </w:rPr>
        <w:t>AS</w:t>
      </w:r>
      <w:r w:rsidR="00744343">
        <w:rPr>
          <w:rFonts w:ascii="Bookman Old Style" w:hAnsi="Bookman Old Style"/>
          <w:sz w:val="22"/>
          <w:szCs w:val="22"/>
          <w:lang w:val="id-ID"/>
        </w:rPr>
        <w:t>)</w:t>
      </w:r>
      <w:r w:rsidR="001B74E9" w:rsidRPr="007F541B">
        <w:rPr>
          <w:rFonts w:ascii="Bookman Old Style" w:hAnsi="Bookman Old Style"/>
          <w:sz w:val="22"/>
          <w:szCs w:val="22"/>
          <w:lang w:val="id-ID"/>
        </w:rPr>
        <w:t xml:space="preserve"> lebih rendah dari </w:t>
      </w:r>
      <w:r w:rsidR="00EC4502" w:rsidRPr="007F541B">
        <w:rPr>
          <w:rFonts w:ascii="Bookman Old Style" w:hAnsi="Bookman Old Style"/>
          <w:sz w:val="22"/>
          <w:szCs w:val="22"/>
          <w:lang w:val="id-ID"/>
        </w:rPr>
        <w:t>yang di</w:t>
      </w:r>
      <w:r w:rsidR="00064D34" w:rsidRPr="007F541B">
        <w:rPr>
          <w:rFonts w:ascii="Bookman Old Style" w:hAnsi="Bookman Old Style"/>
          <w:sz w:val="22"/>
          <w:szCs w:val="22"/>
          <w:lang w:val="id-ID"/>
        </w:rPr>
        <w:t xml:space="preserve">umumkan </w:t>
      </w:r>
      <w:r w:rsidR="00254D21" w:rsidRPr="007F541B">
        <w:rPr>
          <w:rFonts w:ascii="Bookman Old Style" w:hAnsi="Bookman Old Style"/>
          <w:sz w:val="22"/>
          <w:szCs w:val="22"/>
          <w:lang w:val="id-ID"/>
        </w:rPr>
        <w:t xml:space="preserve">sebelumnya, </w:t>
      </w:r>
      <w:r w:rsidR="00572FBA" w:rsidRPr="007F541B">
        <w:rPr>
          <w:rFonts w:ascii="Bookman Old Style" w:hAnsi="Bookman Old Style"/>
          <w:sz w:val="22"/>
          <w:szCs w:val="22"/>
          <w:lang w:val="id-ID"/>
        </w:rPr>
        <w:t xml:space="preserve">perbaikan </w:t>
      </w:r>
      <w:r w:rsidR="00B0609E" w:rsidRPr="007F541B">
        <w:rPr>
          <w:rFonts w:ascii="Bookman Old Style" w:hAnsi="Bookman Old Style"/>
          <w:sz w:val="22"/>
          <w:szCs w:val="22"/>
          <w:lang w:val="id-ID"/>
        </w:rPr>
        <w:t xml:space="preserve">likuiditas global, </w:t>
      </w:r>
      <w:r w:rsidR="00F579F1" w:rsidRPr="007F541B">
        <w:rPr>
          <w:rFonts w:ascii="Bookman Old Style" w:hAnsi="Bookman Old Style"/>
          <w:sz w:val="22"/>
          <w:szCs w:val="22"/>
          <w:lang w:val="id-ID"/>
        </w:rPr>
        <w:t>serta</w:t>
      </w:r>
      <w:r w:rsidR="00B0609E" w:rsidRPr="007F541B">
        <w:rPr>
          <w:rFonts w:ascii="Bookman Old Style" w:hAnsi="Bookman Old Style"/>
          <w:sz w:val="22"/>
          <w:szCs w:val="22"/>
          <w:lang w:val="id-ID"/>
        </w:rPr>
        <w:t xml:space="preserve"> kebijakan fiskal yang akomodatif</w:t>
      </w:r>
      <w:r w:rsidRPr="007F541B">
        <w:rPr>
          <w:rFonts w:ascii="Bookman Old Style" w:hAnsi="Bookman Old Style"/>
          <w:sz w:val="22"/>
          <w:szCs w:val="22"/>
          <w:lang w:val="id-ID"/>
        </w:rPr>
        <w:t>.</w:t>
      </w:r>
    </w:p>
    <w:p w14:paraId="2D767E3E" w14:textId="1DBA4F04" w:rsidR="00DB5475" w:rsidRPr="007F541B" w:rsidRDefault="00DB77A2" w:rsidP="00DB5475">
      <w:pPr>
        <w:spacing w:after="120" w:line="276" w:lineRule="auto"/>
        <w:jc w:val="both"/>
        <w:rPr>
          <w:rFonts w:ascii="Bookman Old Style" w:hAnsi="Bookman Old Style"/>
          <w:sz w:val="22"/>
          <w:szCs w:val="22"/>
          <w:lang w:val="id-ID"/>
        </w:rPr>
      </w:pPr>
      <w:r w:rsidRPr="007F541B">
        <w:rPr>
          <w:rFonts w:ascii="Bookman Old Style" w:hAnsi="Bookman Old Style"/>
          <w:sz w:val="22"/>
          <w:szCs w:val="22"/>
          <w:lang w:val="id-ID"/>
        </w:rPr>
        <w:t>Tensi perang dagang</w:t>
      </w:r>
      <w:r w:rsidR="007E1F69" w:rsidRPr="007F541B">
        <w:rPr>
          <w:rFonts w:ascii="Bookman Old Style" w:hAnsi="Bookman Old Style"/>
          <w:sz w:val="22"/>
          <w:szCs w:val="22"/>
          <w:lang w:val="id-ID"/>
        </w:rPr>
        <w:t xml:space="preserve"> </w:t>
      </w:r>
      <w:r w:rsidR="00070CD6" w:rsidRPr="007F541B">
        <w:rPr>
          <w:rFonts w:ascii="Bookman Old Style" w:hAnsi="Bookman Old Style"/>
          <w:sz w:val="22"/>
          <w:szCs w:val="22"/>
          <w:lang w:val="id-ID"/>
        </w:rPr>
        <w:t xml:space="preserve">mereda seiring </w:t>
      </w:r>
      <w:r w:rsidR="003A5A66" w:rsidRPr="007F541B">
        <w:rPr>
          <w:rFonts w:ascii="Bookman Old Style" w:hAnsi="Bookman Old Style"/>
          <w:sz w:val="22"/>
          <w:szCs w:val="22"/>
          <w:lang w:val="id-ID"/>
        </w:rPr>
        <w:t>dengan</w:t>
      </w:r>
      <w:r w:rsidR="00070CD6" w:rsidRPr="007F541B">
        <w:rPr>
          <w:rFonts w:ascii="Bookman Old Style" w:hAnsi="Bookman Old Style"/>
          <w:sz w:val="22"/>
          <w:szCs w:val="22"/>
          <w:lang w:val="id-ID"/>
        </w:rPr>
        <w:t xml:space="preserve"> kesepakatan </w:t>
      </w:r>
      <w:r w:rsidR="003A5A66" w:rsidRPr="007F541B">
        <w:rPr>
          <w:rFonts w:ascii="Bookman Old Style" w:hAnsi="Bookman Old Style"/>
          <w:sz w:val="22"/>
          <w:szCs w:val="22"/>
          <w:lang w:val="id-ID"/>
        </w:rPr>
        <w:t>tarif</w:t>
      </w:r>
      <w:r w:rsidR="007E1F69" w:rsidRPr="007F541B">
        <w:rPr>
          <w:rFonts w:ascii="Bookman Old Style" w:hAnsi="Bookman Old Style"/>
          <w:sz w:val="22"/>
          <w:szCs w:val="22"/>
          <w:lang w:val="id-ID"/>
        </w:rPr>
        <w:t xml:space="preserve"> antara </w:t>
      </w:r>
      <w:r w:rsidR="00FC3938">
        <w:rPr>
          <w:rFonts w:ascii="Bookman Old Style" w:hAnsi="Bookman Old Style"/>
          <w:sz w:val="22"/>
          <w:szCs w:val="22"/>
          <w:lang w:val="id-ID"/>
        </w:rPr>
        <w:t>AS</w:t>
      </w:r>
      <w:r w:rsidR="007E1F69" w:rsidRPr="007F541B">
        <w:rPr>
          <w:rFonts w:ascii="Bookman Old Style" w:hAnsi="Bookman Old Style"/>
          <w:sz w:val="22"/>
          <w:szCs w:val="22"/>
          <w:lang w:val="id-ID"/>
        </w:rPr>
        <w:t xml:space="preserve"> </w:t>
      </w:r>
      <w:r w:rsidR="00070CD6" w:rsidRPr="007F541B">
        <w:rPr>
          <w:rFonts w:ascii="Bookman Old Style" w:hAnsi="Bookman Old Style"/>
          <w:sz w:val="22"/>
          <w:szCs w:val="22"/>
          <w:lang w:val="id-ID"/>
        </w:rPr>
        <w:t xml:space="preserve">dengan </w:t>
      </w:r>
      <w:r w:rsidR="009F61F7" w:rsidRPr="007F541B">
        <w:rPr>
          <w:rFonts w:ascii="Bookman Old Style" w:hAnsi="Bookman Old Style"/>
          <w:sz w:val="22"/>
          <w:szCs w:val="22"/>
          <w:lang w:val="id-ID"/>
        </w:rPr>
        <w:t>beberapa</w:t>
      </w:r>
      <w:r w:rsidR="007E1F69" w:rsidRPr="007F541B">
        <w:rPr>
          <w:rFonts w:ascii="Bookman Old Style" w:hAnsi="Bookman Old Style"/>
          <w:sz w:val="22"/>
          <w:szCs w:val="22"/>
          <w:lang w:val="id-ID"/>
        </w:rPr>
        <w:t xml:space="preserve"> negara</w:t>
      </w:r>
      <w:r w:rsidR="00070CD6" w:rsidRPr="007F541B">
        <w:rPr>
          <w:rFonts w:ascii="Bookman Old Style" w:hAnsi="Bookman Old Style"/>
          <w:sz w:val="22"/>
          <w:szCs w:val="22"/>
          <w:lang w:val="id-ID"/>
        </w:rPr>
        <w:t xml:space="preserve"> </w:t>
      </w:r>
      <w:r w:rsidR="001A2193" w:rsidRPr="007F541B">
        <w:rPr>
          <w:rFonts w:ascii="Bookman Old Style" w:hAnsi="Bookman Old Style"/>
          <w:sz w:val="22"/>
          <w:szCs w:val="22"/>
          <w:lang w:val="id-ID"/>
        </w:rPr>
        <w:t>mitra utama</w:t>
      </w:r>
      <w:r w:rsidR="009F61F7" w:rsidRPr="007F541B">
        <w:rPr>
          <w:rFonts w:ascii="Bookman Old Style" w:hAnsi="Bookman Old Style"/>
          <w:sz w:val="22"/>
          <w:szCs w:val="22"/>
          <w:lang w:val="id-ID"/>
        </w:rPr>
        <w:t>.</w:t>
      </w:r>
      <w:r w:rsidR="002B2662" w:rsidRPr="007F541B">
        <w:rPr>
          <w:rFonts w:ascii="Bookman Old Style" w:hAnsi="Bookman Old Style"/>
          <w:sz w:val="22"/>
          <w:szCs w:val="22"/>
          <w:lang w:val="id-ID"/>
        </w:rPr>
        <w:t xml:space="preserve"> Sejalan dengan itu,</w:t>
      </w:r>
      <w:r w:rsidR="00DB5475" w:rsidRPr="007F541B">
        <w:rPr>
          <w:rFonts w:ascii="Bookman Old Style" w:hAnsi="Bookman Old Style"/>
          <w:sz w:val="22"/>
          <w:szCs w:val="22"/>
          <w:lang w:val="id-ID"/>
        </w:rPr>
        <w:t xml:space="preserve"> indikator ekonomi global menunjukkan tren </w:t>
      </w:r>
      <w:r w:rsidR="005F2334" w:rsidRPr="007F541B">
        <w:rPr>
          <w:rFonts w:ascii="Bookman Old Style" w:hAnsi="Bookman Old Style"/>
          <w:sz w:val="22"/>
          <w:szCs w:val="22"/>
          <w:lang w:val="id-ID"/>
        </w:rPr>
        <w:t>membaik</w:t>
      </w:r>
      <w:r w:rsidR="00DB5475" w:rsidRPr="007F541B">
        <w:rPr>
          <w:rFonts w:ascii="Bookman Old Style" w:hAnsi="Bookman Old Style"/>
          <w:sz w:val="22"/>
          <w:szCs w:val="22"/>
          <w:lang w:val="id-ID"/>
        </w:rPr>
        <w:t xml:space="preserve"> dan </w:t>
      </w:r>
      <w:r w:rsidR="00980183" w:rsidRPr="007F541B">
        <w:rPr>
          <w:rFonts w:ascii="Bookman Old Style" w:hAnsi="Bookman Old Style"/>
          <w:sz w:val="22"/>
          <w:szCs w:val="22"/>
          <w:lang w:val="id-ID"/>
        </w:rPr>
        <w:t>tercatat</w:t>
      </w:r>
      <w:r w:rsidR="00DB5475" w:rsidRPr="007F541B">
        <w:rPr>
          <w:rFonts w:ascii="Bookman Old Style" w:hAnsi="Bookman Old Style"/>
          <w:sz w:val="22"/>
          <w:szCs w:val="22"/>
          <w:lang w:val="id-ID"/>
        </w:rPr>
        <w:t xml:space="preserve"> di </w:t>
      </w:r>
      <w:r w:rsidR="00980183" w:rsidRPr="007F541B">
        <w:rPr>
          <w:rFonts w:ascii="Bookman Old Style" w:hAnsi="Bookman Old Style"/>
          <w:sz w:val="22"/>
          <w:szCs w:val="22"/>
          <w:lang w:val="id-ID"/>
        </w:rPr>
        <w:t>atas</w:t>
      </w:r>
      <w:r w:rsidR="00DB5475" w:rsidRPr="007F541B">
        <w:rPr>
          <w:rFonts w:ascii="Bookman Old Style" w:hAnsi="Bookman Old Style"/>
          <w:sz w:val="22"/>
          <w:szCs w:val="22"/>
          <w:lang w:val="id-ID"/>
        </w:rPr>
        <w:t xml:space="preserve"> ekspektasi</w:t>
      </w:r>
      <w:r w:rsidR="00083AC0" w:rsidRPr="007F541B">
        <w:rPr>
          <w:rFonts w:ascii="Bookman Old Style" w:hAnsi="Bookman Old Style"/>
          <w:sz w:val="22"/>
          <w:szCs w:val="22"/>
          <w:lang w:val="id-ID"/>
        </w:rPr>
        <w:t>, ditunjukkan oleh kinerja manufaktur dan perdagangan</w:t>
      </w:r>
      <w:r w:rsidR="00DB5475" w:rsidRPr="007F541B">
        <w:rPr>
          <w:rFonts w:ascii="Bookman Old Style" w:hAnsi="Bookman Old Style"/>
          <w:sz w:val="22"/>
          <w:szCs w:val="22"/>
          <w:lang w:val="id-ID"/>
        </w:rPr>
        <w:t xml:space="preserve"> global </w:t>
      </w:r>
      <w:r w:rsidR="003452BE" w:rsidRPr="007F541B">
        <w:rPr>
          <w:rFonts w:ascii="Bookman Old Style" w:hAnsi="Bookman Old Style"/>
          <w:sz w:val="22"/>
          <w:szCs w:val="22"/>
          <w:lang w:val="id-ID"/>
        </w:rPr>
        <w:t>yang meningkat</w:t>
      </w:r>
      <w:r w:rsidR="00B10BE5" w:rsidRPr="007F541B">
        <w:rPr>
          <w:rFonts w:ascii="Bookman Old Style" w:hAnsi="Bookman Old Style"/>
          <w:sz w:val="22"/>
          <w:szCs w:val="22"/>
          <w:lang w:val="id-ID"/>
        </w:rPr>
        <w:t xml:space="preserve"> serta rilis pertumbuhan be</w:t>
      </w:r>
      <w:r w:rsidR="00C3736C" w:rsidRPr="007F541B">
        <w:rPr>
          <w:rFonts w:ascii="Bookman Old Style" w:hAnsi="Bookman Old Style"/>
          <w:sz w:val="22"/>
          <w:szCs w:val="22"/>
          <w:lang w:val="id-ID"/>
        </w:rPr>
        <w:t xml:space="preserve">berapa negara utama </w:t>
      </w:r>
      <w:r w:rsidR="007C1CD8">
        <w:rPr>
          <w:rFonts w:ascii="Bookman Old Style" w:hAnsi="Bookman Old Style"/>
          <w:sz w:val="22"/>
          <w:szCs w:val="22"/>
          <w:lang w:val="id-ID"/>
        </w:rPr>
        <w:t xml:space="preserve">di </w:t>
      </w:r>
      <w:r w:rsidR="00C3736C" w:rsidRPr="007F541B">
        <w:rPr>
          <w:rFonts w:ascii="Bookman Old Style" w:hAnsi="Bookman Old Style"/>
          <w:sz w:val="22"/>
          <w:szCs w:val="22"/>
          <w:lang w:val="id-ID"/>
        </w:rPr>
        <w:t>Q2</w:t>
      </w:r>
      <w:r w:rsidR="00D23BA2" w:rsidRPr="007F541B">
        <w:rPr>
          <w:rFonts w:ascii="Bookman Old Style" w:hAnsi="Bookman Old Style"/>
          <w:sz w:val="22"/>
          <w:szCs w:val="22"/>
          <w:lang w:val="id-ID"/>
        </w:rPr>
        <w:t xml:space="preserve">-2025 </w:t>
      </w:r>
      <w:r w:rsidR="00C3736C" w:rsidRPr="007F541B">
        <w:rPr>
          <w:rFonts w:ascii="Bookman Old Style" w:hAnsi="Bookman Old Style"/>
          <w:sz w:val="22"/>
          <w:szCs w:val="22"/>
          <w:lang w:val="id-ID"/>
        </w:rPr>
        <w:t>seperti AS dan Tiong</w:t>
      </w:r>
      <w:r w:rsidR="00D23BA2" w:rsidRPr="007F541B">
        <w:rPr>
          <w:rFonts w:ascii="Bookman Old Style" w:hAnsi="Bookman Old Style"/>
          <w:sz w:val="22"/>
          <w:szCs w:val="22"/>
          <w:lang w:val="id-ID"/>
        </w:rPr>
        <w:t>kok yang lebih baik dari ekspektasi</w:t>
      </w:r>
      <w:r w:rsidR="00DB5475" w:rsidRPr="007F541B">
        <w:rPr>
          <w:rFonts w:ascii="Bookman Old Style" w:hAnsi="Bookman Old Style"/>
          <w:sz w:val="22"/>
          <w:szCs w:val="22"/>
          <w:lang w:val="id-ID"/>
        </w:rPr>
        <w:t>.</w:t>
      </w:r>
    </w:p>
    <w:p w14:paraId="552E75F0" w14:textId="6EF19378" w:rsidR="00542743" w:rsidRPr="007F541B" w:rsidRDefault="00C44BEB" w:rsidP="001830AF">
      <w:pPr>
        <w:spacing w:after="120" w:line="276" w:lineRule="auto"/>
        <w:jc w:val="both"/>
        <w:rPr>
          <w:rFonts w:ascii="Bookman Old Style" w:hAnsi="Bookman Old Style"/>
          <w:sz w:val="22"/>
          <w:szCs w:val="22"/>
          <w:highlight w:val="yellow"/>
          <w:lang w:val="id-ID"/>
        </w:rPr>
      </w:pPr>
      <w:r w:rsidRPr="007F541B">
        <w:rPr>
          <w:rFonts w:ascii="Bookman Old Style" w:hAnsi="Bookman Old Style"/>
          <w:sz w:val="22"/>
          <w:szCs w:val="22"/>
          <w:lang w:val="id-ID"/>
        </w:rPr>
        <w:t>P</w:t>
      </w:r>
      <w:r w:rsidR="00E8519D" w:rsidRPr="007F541B">
        <w:rPr>
          <w:rFonts w:ascii="Bookman Old Style" w:hAnsi="Bookman Old Style"/>
          <w:sz w:val="22"/>
          <w:szCs w:val="22"/>
          <w:lang w:val="id-ID"/>
        </w:rPr>
        <w:t>asar keu</w:t>
      </w:r>
      <w:r w:rsidR="00470982" w:rsidRPr="007F541B">
        <w:rPr>
          <w:rFonts w:ascii="Bookman Old Style" w:hAnsi="Bookman Old Style"/>
          <w:sz w:val="22"/>
          <w:szCs w:val="22"/>
          <w:lang w:val="id-ID"/>
        </w:rPr>
        <w:t>a</w:t>
      </w:r>
      <w:r w:rsidR="00E8519D" w:rsidRPr="007F541B">
        <w:rPr>
          <w:rFonts w:ascii="Bookman Old Style" w:hAnsi="Bookman Old Style"/>
          <w:sz w:val="22"/>
          <w:szCs w:val="22"/>
          <w:lang w:val="id-ID"/>
        </w:rPr>
        <w:t>ngan global secara umum menguat</w:t>
      </w:r>
      <w:r w:rsidR="00595BE7" w:rsidRPr="007F541B">
        <w:rPr>
          <w:rFonts w:ascii="Bookman Old Style" w:hAnsi="Bookman Old Style"/>
          <w:sz w:val="22"/>
          <w:szCs w:val="22"/>
          <w:lang w:val="id-ID"/>
        </w:rPr>
        <w:t xml:space="preserve">, </w:t>
      </w:r>
      <w:r w:rsidR="00D246A3" w:rsidRPr="007F541B">
        <w:rPr>
          <w:rFonts w:ascii="Bookman Old Style" w:hAnsi="Bookman Old Style"/>
          <w:sz w:val="22"/>
          <w:szCs w:val="22"/>
          <w:lang w:val="id-ID"/>
        </w:rPr>
        <w:t xml:space="preserve">dengan investor melakukan </w:t>
      </w:r>
      <w:r w:rsidR="00D246A3" w:rsidRPr="007F541B">
        <w:rPr>
          <w:rFonts w:ascii="Bookman Old Style" w:hAnsi="Bookman Old Style"/>
          <w:i/>
          <w:iCs/>
          <w:sz w:val="22"/>
          <w:szCs w:val="22"/>
          <w:lang w:val="id-ID"/>
        </w:rPr>
        <w:t xml:space="preserve">risk </w:t>
      </w:r>
      <w:r w:rsidR="00787ED9" w:rsidRPr="007F541B">
        <w:rPr>
          <w:rFonts w:ascii="Bookman Old Style" w:hAnsi="Bookman Old Style"/>
          <w:i/>
          <w:iCs/>
          <w:sz w:val="22"/>
          <w:szCs w:val="22"/>
          <w:lang w:val="id-ID"/>
        </w:rPr>
        <w:t>on</w:t>
      </w:r>
      <w:r w:rsidR="00D246A3" w:rsidRPr="007F541B">
        <w:rPr>
          <w:rFonts w:ascii="Bookman Old Style" w:hAnsi="Bookman Old Style"/>
          <w:i/>
          <w:iCs/>
          <w:sz w:val="22"/>
          <w:szCs w:val="22"/>
          <w:lang w:val="id-ID"/>
        </w:rPr>
        <w:t xml:space="preserve"> </w:t>
      </w:r>
      <w:r w:rsidR="007C1CD8">
        <w:rPr>
          <w:rFonts w:ascii="Bookman Old Style" w:hAnsi="Bookman Old Style"/>
          <w:sz w:val="22"/>
          <w:szCs w:val="22"/>
          <w:lang w:val="id-ID"/>
        </w:rPr>
        <w:t>dan v</w:t>
      </w:r>
      <w:r w:rsidR="00BC0A7B" w:rsidRPr="007F541B">
        <w:rPr>
          <w:rFonts w:ascii="Bookman Old Style" w:hAnsi="Bookman Old Style"/>
          <w:sz w:val="22"/>
          <w:szCs w:val="22"/>
          <w:lang w:val="id-ID"/>
        </w:rPr>
        <w:t xml:space="preserve">olatilitas </w:t>
      </w:r>
      <w:r w:rsidR="00901733">
        <w:rPr>
          <w:rFonts w:ascii="Bookman Old Style" w:hAnsi="Bookman Old Style"/>
          <w:sz w:val="22"/>
          <w:szCs w:val="22"/>
          <w:lang w:val="id-ID"/>
        </w:rPr>
        <w:t>yang</w:t>
      </w:r>
      <w:r w:rsidR="007F7241" w:rsidRPr="007F541B">
        <w:rPr>
          <w:rFonts w:ascii="Bookman Old Style" w:hAnsi="Bookman Old Style"/>
          <w:sz w:val="22"/>
          <w:szCs w:val="22"/>
          <w:lang w:val="id-ID"/>
        </w:rPr>
        <w:t xml:space="preserve"> juga </w:t>
      </w:r>
      <w:r w:rsidR="006E35EC" w:rsidRPr="007F541B">
        <w:rPr>
          <w:rFonts w:ascii="Bookman Old Style" w:hAnsi="Bookman Old Style"/>
          <w:sz w:val="22"/>
          <w:szCs w:val="22"/>
          <w:lang w:val="id-ID"/>
        </w:rPr>
        <w:t xml:space="preserve">menurun, diikuti berlanjutnya aliran modal ke </w:t>
      </w:r>
      <w:r w:rsidR="006E35EC" w:rsidRPr="00D6168E">
        <w:rPr>
          <w:rFonts w:ascii="Bookman Old Style" w:hAnsi="Bookman Old Style"/>
          <w:i/>
          <w:sz w:val="22"/>
          <w:szCs w:val="22"/>
          <w:lang w:val="id-ID"/>
        </w:rPr>
        <w:t>emerging market</w:t>
      </w:r>
      <w:r w:rsidR="006E35EC" w:rsidRPr="007F541B">
        <w:rPr>
          <w:rFonts w:ascii="Bookman Old Style" w:hAnsi="Bookman Old Style"/>
          <w:sz w:val="22"/>
          <w:szCs w:val="22"/>
          <w:lang w:val="id-ID"/>
        </w:rPr>
        <w:t xml:space="preserve"> termasuk Indonesia.</w:t>
      </w:r>
    </w:p>
    <w:p w14:paraId="1BF18233" w14:textId="2A8E7BF9" w:rsidR="00204E77" w:rsidRPr="000E2171" w:rsidRDefault="00C36E6D" w:rsidP="00DB5475">
      <w:pPr>
        <w:spacing w:after="120" w:line="276" w:lineRule="auto"/>
        <w:jc w:val="both"/>
        <w:rPr>
          <w:rFonts w:ascii="Bookman Old Style" w:hAnsi="Bookman Old Style"/>
          <w:sz w:val="22"/>
          <w:szCs w:val="22"/>
          <w:lang w:val="id-ID"/>
        </w:rPr>
      </w:pPr>
      <w:r w:rsidRPr="000E2171">
        <w:rPr>
          <w:rFonts w:ascii="Bookman Old Style" w:hAnsi="Bookman Old Style"/>
          <w:sz w:val="22"/>
          <w:szCs w:val="22"/>
          <w:lang w:val="id-ID"/>
        </w:rPr>
        <w:t>Di sisi p</w:t>
      </w:r>
      <w:r w:rsidR="00DB5475" w:rsidRPr="000E2171">
        <w:rPr>
          <w:rFonts w:ascii="Bookman Old Style" w:hAnsi="Bookman Old Style"/>
          <w:sz w:val="22"/>
          <w:szCs w:val="22"/>
          <w:lang w:val="id-ID"/>
        </w:rPr>
        <w:t>erekonomian domestik</w:t>
      </w:r>
      <w:r w:rsidRPr="000E2171">
        <w:rPr>
          <w:rFonts w:ascii="Bookman Old Style" w:hAnsi="Bookman Old Style"/>
          <w:sz w:val="22"/>
          <w:szCs w:val="22"/>
          <w:lang w:val="id-ID"/>
        </w:rPr>
        <w:t>,</w:t>
      </w:r>
      <w:r w:rsidR="00DB5475" w:rsidRPr="000E2171">
        <w:rPr>
          <w:rFonts w:ascii="Bookman Old Style" w:hAnsi="Bookman Old Style"/>
          <w:sz w:val="22"/>
          <w:szCs w:val="22"/>
          <w:lang w:val="id-ID"/>
        </w:rPr>
        <w:t xml:space="preserve"> </w:t>
      </w:r>
      <w:r w:rsidR="0091241A" w:rsidRPr="000E2171">
        <w:rPr>
          <w:rFonts w:ascii="Bookman Old Style" w:hAnsi="Bookman Old Style"/>
          <w:sz w:val="22"/>
          <w:szCs w:val="22"/>
          <w:lang w:val="id-ID"/>
        </w:rPr>
        <w:t>indi</w:t>
      </w:r>
      <w:r w:rsidR="008D482D" w:rsidRPr="000E2171">
        <w:rPr>
          <w:rFonts w:ascii="Bookman Old Style" w:hAnsi="Bookman Old Style"/>
          <w:sz w:val="22"/>
          <w:szCs w:val="22"/>
          <w:lang w:val="id-ID"/>
        </w:rPr>
        <w:t>k</w:t>
      </w:r>
      <w:r w:rsidR="0091241A" w:rsidRPr="000E2171">
        <w:rPr>
          <w:rFonts w:ascii="Bookman Old Style" w:hAnsi="Bookman Old Style"/>
          <w:sz w:val="22"/>
          <w:szCs w:val="22"/>
          <w:lang w:val="id-ID"/>
        </w:rPr>
        <w:t>ator permintaan</w:t>
      </w:r>
      <w:r w:rsidR="00ED6266" w:rsidRPr="000E2171">
        <w:rPr>
          <w:rFonts w:ascii="Bookman Old Style" w:hAnsi="Bookman Old Style"/>
          <w:sz w:val="22"/>
          <w:szCs w:val="22"/>
          <w:lang w:val="id-ID"/>
        </w:rPr>
        <w:t xml:space="preserve"> masih </w:t>
      </w:r>
      <w:r w:rsidR="005A0AC6" w:rsidRPr="000E2171">
        <w:rPr>
          <w:rFonts w:ascii="Bookman Old Style" w:hAnsi="Bookman Old Style"/>
          <w:sz w:val="22"/>
          <w:szCs w:val="22"/>
          <w:lang w:val="id-ID"/>
        </w:rPr>
        <w:t xml:space="preserve">terjaga stabil terlihat dari </w:t>
      </w:r>
      <w:r w:rsidRPr="000E2171">
        <w:rPr>
          <w:rFonts w:ascii="Bookman Old Style" w:hAnsi="Bookman Old Style"/>
          <w:sz w:val="22"/>
          <w:szCs w:val="22"/>
          <w:lang w:val="id-ID"/>
        </w:rPr>
        <w:t xml:space="preserve">laju inflasi </w:t>
      </w:r>
      <w:r w:rsidR="005A0AC6" w:rsidRPr="000E2171">
        <w:rPr>
          <w:rFonts w:ascii="Bookman Old Style" w:hAnsi="Bookman Old Style"/>
          <w:sz w:val="22"/>
          <w:szCs w:val="22"/>
          <w:lang w:val="id-ID"/>
        </w:rPr>
        <w:t>yang rendah dan</w:t>
      </w:r>
      <w:r w:rsidRPr="000E2171">
        <w:rPr>
          <w:rFonts w:ascii="Bookman Old Style" w:hAnsi="Bookman Old Style"/>
          <w:sz w:val="22"/>
          <w:szCs w:val="22"/>
          <w:lang w:val="id-ID"/>
        </w:rPr>
        <w:t xml:space="preserve"> pertumbuhan uang beredar dalam tren meningkat.</w:t>
      </w:r>
      <w:r w:rsidR="00EA2375" w:rsidRPr="000E2171">
        <w:rPr>
          <w:rFonts w:ascii="Bookman Old Style" w:hAnsi="Bookman Old Style"/>
          <w:sz w:val="22"/>
          <w:szCs w:val="22"/>
          <w:lang w:val="id-ID"/>
        </w:rPr>
        <w:t xml:space="preserve"> </w:t>
      </w:r>
      <w:r w:rsidR="002C07A2" w:rsidRPr="000E2171">
        <w:rPr>
          <w:rFonts w:ascii="Bookman Old Style" w:hAnsi="Bookman Old Style"/>
          <w:sz w:val="22"/>
          <w:szCs w:val="22"/>
          <w:lang w:val="id-ID"/>
        </w:rPr>
        <w:t>I</w:t>
      </w:r>
      <w:r w:rsidR="00A616C8" w:rsidRPr="000E2171">
        <w:rPr>
          <w:rFonts w:ascii="Bookman Old Style" w:hAnsi="Bookman Old Style"/>
          <w:sz w:val="22"/>
          <w:szCs w:val="22"/>
          <w:lang w:val="id-ID"/>
        </w:rPr>
        <w:t>ndi</w:t>
      </w:r>
      <w:r w:rsidR="00F825FD" w:rsidRPr="000E2171">
        <w:rPr>
          <w:rFonts w:ascii="Bookman Old Style" w:hAnsi="Bookman Old Style"/>
          <w:sz w:val="22"/>
          <w:szCs w:val="22"/>
          <w:lang w:val="id-ID"/>
        </w:rPr>
        <w:t>k</w:t>
      </w:r>
      <w:r w:rsidR="00A616C8" w:rsidRPr="000E2171">
        <w:rPr>
          <w:rFonts w:ascii="Bookman Old Style" w:hAnsi="Bookman Old Style"/>
          <w:sz w:val="22"/>
          <w:szCs w:val="22"/>
          <w:lang w:val="id-ID"/>
        </w:rPr>
        <w:t xml:space="preserve">ator sisi penawaran masih </w:t>
      </w:r>
      <w:r w:rsidR="00A616C8" w:rsidRPr="000E2171">
        <w:rPr>
          <w:rFonts w:ascii="Bookman Old Style" w:hAnsi="Bookman Old Style"/>
          <w:i/>
          <w:iCs/>
          <w:sz w:val="22"/>
          <w:szCs w:val="22"/>
          <w:lang w:val="id-ID"/>
        </w:rPr>
        <w:t xml:space="preserve">mixed </w:t>
      </w:r>
      <w:r w:rsidR="00A616C8" w:rsidRPr="000E2171">
        <w:rPr>
          <w:rFonts w:ascii="Bookman Old Style" w:hAnsi="Bookman Old Style"/>
          <w:sz w:val="22"/>
          <w:szCs w:val="22"/>
          <w:lang w:val="id-ID"/>
        </w:rPr>
        <w:t>dengan surplus neraca perdagangan yang persisten</w:t>
      </w:r>
      <w:r w:rsidR="0004348F" w:rsidRPr="000E2171">
        <w:rPr>
          <w:rFonts w:ascii="Bookman Old Style" w:hAnsi="Bookman Old Style"/>
          <w:sz w:val="22"/>
          <w:szCs w:val="22"/>
          <w:lang w:val="id-ID"/>
        </w:rPr>
        <w:t xml:space="preserve"> dan </w:t>
      </w:r>
      <w:r w:rsidR="00F825FD" w:rsidRPr="000E2171">
        <w:rPr>
          <w:rFonts w:ascii="Bookman Old Style" w:hAnsi="Bookman Old Style"/>
          <w:sz w:val="22"/>
          <w:szCs w:val="22"/>
          <w:lang w:val="id-ID"/>
        </w:rPr>
        <w:t>c</w:t>
      </w:r>
      <w:r w:rsidR="0004348F" w:rsidRPr="000E2171">
        <w:rPr>
          <w:rFonts w:ascii="Bookman Old Style" w:hAnsi="Bookman Old Style"/>
          <w:sz w:val="22"/>
          <w:szCs w:val="22"/>
          <w:lang w:val="id-ID"/>
        </w:rPr>
        <w:t>adangan devisa di level yang t</w:t>
      </w:r>
      <w:r w:rsidR="00C276A5" w:rsidRPr="000E2171">
        <w:rPr>
          <w:rFonts w:ascii="Bookman Old Style" w:hAnsi="Bookman Old Style"/>
          <w:sz w:val="22"/>
          <w:szCs w:val="22"/>
          <w:lang w:val="id-ID"/>
        </w:rPr>
        <w:t>i</w:t>
      </w:r>
      <w:r w:rsidR="0004348F" w:rsidRPr="000E2171">
        <w:rPr>
          <w:rFonts w:ascii="Bookman Old Style" w:hAnsi="Bookman Old Style"/>
          <w:sz w:val="22"/>
          <w:szCs w:val="22"/>
          <w:lang w:val="id-ID"/>
        </w:rPr>
        <w:t>nggi</w:t>
      </w:r>
      <w:r w:rsidR="00522EC4" w:rsidRPr="000E2171">
        <w:rPr>
          <w:rFonts w:ascii="Bookman Old Style" w:hAnsi="Bookman Old Style"/>
          <w:sz w:val="22"/>
          <w:szCs w:val="22"/>
          <w:lang w:val="id-ID"/>
        </w:rPr>
        <w:t>, meskipun</w:t>
      </w:r>
      <w:r w:rsidR="00382723" w:rsidRPr="000E2171">
        <w:rPr>
          <w:rFonts w:ascii="Bookman Old Style" w:hAnsi="Bookman Old Style"/>
          <w:sz w:val="22"/>
          <w:szCs w:val="22"/>
          <w:lang w:val="id-ID"/>
        </w:rPr>
        <w:t xml:space="preserve"> </w:t>
      </w:r>
      <w:r w:rsidR="00F622A7" w:rsidRPr="000E2171">
        <w:rPr>
          <w:rFonts w:ascii="Bookman Old Style" w:hAnsi="Bookman Old Style"/>
          <w:sz w:val="22"/>
          <w:szCs w:val="22"/>
          <w:lang w:val="id-ID"/>
        </w:rPr>
        <w:t xml:space="preserve">PMI manufaktur </w:t>
      </w:r>
      <w:r w:rsidR="00522EC4" w:rsidRPr="000E2171">
        <w:rPr>
          <w:rFonts w:ascii="Bookman Old Style" w:hAnsi="Bookman Old Style"/>
          <w:sz w:val="22"/>
          <w:szCs w:val="22"/>
          <w:lang w:val="id-ID"/>
        </w:rPr>
        <w:t xml:space="preserve">masih </w:t>
      </w:r>
      <w:r w:rsidR="00F622A7" w:rsidRPr="000E2171">
        <w:rPr>
          <w:rFonts w:ascii="Bookman Old Style" w:hAnsi="Bookman Old Style"/>
          <w:sz w:val="22"/>
          <w:szCs w:val="22"/>
          <w:lang w:val="id-ID"/>
        </w:rPr>
        <w:t>d</w:t>
      </w:r>
      <w:r w:rsidR="00AD1F35" w:rsidRPr="000E2171">
        <w:rPr>
          <w:rFonts w:ascii="Bookman Old Style" w:hAnsi="Bookman Old Style"/>
          <w:sz w:val="22"/>
          <w:szCs w:val="22"/>
          <w:lang w:val="id-ID"/>
        </w:rPr>
        <w:t>i zona kontraksi</w:t>
      </w:r>
      <w:r w:rsidR="00223283" w:rsidRPr="000E2171">
        <w:rPr>
          <w:rFonts w:ascii="Bookman Old Style" w:hAnsi="Bookman Old Style"/>
          <w:sz w:val="22"/>
          <w:szCs w:val="22"/>
          <w:lang w:val="id-ID"/>
        </w:rPr>
        <w:t xml:space="preserve">. </w:t>
      </w:r>
    </w:p>
    <w:p w14:paraId="35D5D502" w14:textId="37C71A1B" w:rsidR="00DB5475" w:rsidRPr="000E2171" w:rsidRDefault="00382723" w:rsidP="00DB5475">
      <w:pPr>
        <w:spacing w:after="120" w:line="276" w:lineRule="auto"/>
        <w:jc w:val="both"/>
        <w:rPr>
          <w:rFonts w:ascii="Bookman Old Style" w:hAnsi="Bookman Old Style"/>
          <w:sz w:val="22"/>
          <w:szCs w:val="22"/>
          <w:lang w:val="id-ID"/>
        </w:rPr>
      </w:pPr>
      <w:r w:rsidRPr="000E2171">
        <w:rPr>
          <w:rFonts w:ascii="Bookman Old Style" w:hAnsi="Bookman Old Style"/>
          <w:sz w:val="22"/>
          <w:szCs w:val="22"/>
          <w:lang w:val="id-ID"/>
        </w:rPr>
        <w:t>K</w:t>
      </w:r>
      <w:r w:rsidR="005544FE" w:rsidRPr="007F541B">
        <w:rPr>
          <w:rFonts w:ascii="Bookman Old Style" w:hAnsi="Bookman Old Style"/>
          <w:sz w:val="22"/>
          <w:szCs w:val="22"/>
          <w:lang w:val="id-ID"/>
        </w:rPr>
        <w:t xml:space="preserve">esepakatan Indonesia dengan </w:t>
      </w:r>
      <w:r w:rsidR="00FC3938">
        <w:rPr>
          <w:rFonts w:ascii="Bookman Old Style" w:hAnsi="Bookman Old Style"/>
          <w:sz w:val="22"/>
          <w:szCs w:val="22"/>
          <w:lang w:val="id-ID"/>
        </w:rPr>
        <w:t>AS</w:t>
      </w:r>
      <w:r w:rsidR="005544FE" w:rsidRPr="007F541B">
        <w:rPr>
          <w:rFonts w:ascii="Bookman Old Style" w:hAnsi="Bookman Old Style"/>
          <w:sz w:val="22"/>
          <w:szCs w:val="22"/>
          <w:lang w:val="id-ID"/>
        </w:rPr>
        <w:t xml:space="preserve"> untuk menurunkan tarif menjadi 19 persen </w:t>
      </w:r>
      <w:r w:rsidR="00037CC4" w:rsidRPr="007F541B">
        <w:rPr>
          <w:rFonts w:ascii="Bookman Old Style" w:hAnsi="Bookman Old Style"/>
          <w:sz w:val="22"/>
          <w:szCs w:val="22"/>
          <w:lang w:val="id-ID"/>
        </w:rPr>
        <w:t xml:space="preserve">yang </w:t>
      </w:r>
      <w:r w:rsidR="005544FE" w:rsidRPr="007F541B">
        <w:rPr>
          <w:rFonts w:ascii="Bookman Old Style" w:hAnsi="Bookman Old Style"/>
          <w:sz w:val="22"/>
          <w:szCs w:val="22"/>
          <w:lang w:val="id-ID"/>
        </w:rPr>
        <w:t xml:space="preserve">menjadi salah satu tarif terendah di </w:t>
      </w:r>
      <w:r w:rsidR="00344A63" w:rsidRPr="007F541B">
        <w:rPr>
          <w:rFonts w:ascii="Bookman Old Style" w:hAnsi="Bookman Old Style"/>
          <w:sz w:val="22"/>
          <w:szCs w:val="22"/>
          <w:lang w:val="id-ID"/>
        </w:rPr>
        <w:t>k</w:t>
      </w:r>
      <w:r w:rsidR="005544FE" w:rsidRPr="007F541B">
        <w:rPr>
          <w:rFonts w:ascii="Bookman Old Style" w:hAnsi="Bookman Old Style"/>
          <w:sz w:val="22"/>
          <w:szCs w:val="22"/>
          <w:lang w:val="id-ID"/>
        </w:rPr>
        <w:t xml:space="preserve">awasan </w:t>
      </w:r>
      <w:r w:rsidR="00993413" w:rsidRPr="007F541B">
        <w:rPr>
          <w:rFonts w:ascii="Bookman Old Style" w:hAnsi="Bookman Old Style"/>
          <w:sz w:val="22"/>
          <w:szCs w:val="22"/>
          <w:lang w:val="id-ID"/>
        </w:rPr>
        <w:t>diharapkan</w:t>
      </w:r>
      <w:r w:rsidR="005544FE" w:rsidRPr="007F541B">
        <w:rPr>
          <w:rFonts w:ascii="Bookman Old Style" w:hAnsi="Bookman Old Style"/>
          <w:sz w:val="22"/>
          <w:szCs w:val="22"/>
          <w:lang w:val="id-ID"/>
        </w:rPr>
        <w:t xml:space="preserve"> akan menciptakan peluang untuk meningkatkan daya saing Indonesia, terutama dibandingkan dengan negara lain yang menghadapi tarif yang lebih tinggi dari </w:t>
      </w:r>
      <w:r w:rsidR="004F6692">
        <w:rPr>
          <w:rFonts w:ascii="Bookman Old Style" w:hAnsi="Bookman Old Style"/>
          <w:sz w:val="22"/>
          <w:szCs w:val="22"/>
          <w:lang w:val="id-ID"/>
        </w:rPr>
        <w:t>AS</w:t>
      </w:r>
      <w:r w:rsidR="005544FE" w:rsidRPr="007F541B">
        <w:rPr>
          <w:rFonts w:ascii="Bookman Old Style" w:hAnsi="Bookman Old Style"/>
          <w:sz w:val="22"/>
          <w:szCs w:val="22"/>
          <w:lang w:val="id-ID"/>
        </w:rPr>
        <w:t xml:space="preserve">. </w:t>
      </w:r>
    </w:p>
    <w:p w14:paraId="67598850" w14:textId="6C415CAA" w:rsidR="00DB5475" w:rsidRPr="007F541B" w:rsidRDefault="00DB5475" w:rsidP="00DB5475">
      <w:pPr>
        <w:spacing w:after="120" w:line="276" w:lineRule="auto"/>
        <w:jc w:val="both"/>
        <w:rPr>
          <w:rFonts w:ascii="Bookman Old Style" w:hAnsi="Bookman Old Style"/>
          <w:sz w:val="22"/>
          <w:szCs w:val="22"/>
          <w:highlight w:val="yellow"/>
          <w:lang w:val="id-ID"/>
        </w:rPr>
      </w:pPr>
    </w:p>
    <w:p w14:paraId="70CF560D" w14:textId="77777777" w:rsidR="00DB5475" w:rsidRPr="007F541B" w:rsidRDefault="00DB5475" w:rsidP="00DB5475">
      <w:pPr>
        <w:spacing w:after="120" w:line="276" w:lineRule="auto"/>
        <w:jc w:val="both"/>
        <w:rPr>
          <w:rFonts w:ascii="Bookman Old Style" w:hAnsi="Bookman Old Style"/>
          <w:sz w:val="22"/>
          <w:szCs w:val="22"/>
          <w:highlight w:val="yellow"/>
          <w:lang w:val="id-ID"/>
        </w:rPr>
      </w:pPr>
    </w:p>
    <w:p w14:paraId="486877AF" w14:textId="3E9ADE54" w:rsidR="00DB5475" w:rsidRPr="007F541B" w:rsidRDefault="00DB5475" w:rsidP="00DB5475">
      <w:pPr>
        <w:spacing w:line="259" w:lineRule="auto"/>
        <w:rPr>
          <w:rFonts w:ascii="Bookman Old Style" w:hAnsi="Bookman Old Style"/>
          <w:b/>
          <w:sz w:val="22"/>
          <w:szCs w:val="22"/>
          <w:lang w:val="id-ID"/>
        </w:rPr>
      </w:pPr>
    </w:p>
    <w:p w14:paraId="36FCB82D" w14:textId="77777777" w:rsidR="00801A76" w:rsidRPr="007F541B" w:rsidRDefault="00801A76" w:rsidP="00DB5475">
      <w:pPr>
        <w:spacing w:after="120" w:line="276" w:lineRule="auto"/>
        <w:jc w:val="both"/>
        <w:rPr>
          <w:rFonts w:ascii="Bookman Old Style" w:hAnsi="Bookman Old Style"/>
          <w:b/>
          <w:sz w:val="22"/>
          <w:szCs w:val="22"/>
          <w:lang w:val="id-ID"/>
        </w:rPr>
        <w:sectPr w:rsidR="00801A76" w:rsidRPr="007F541B" w:rsidSect="00DB5475">
          <w:headerReference w:type="default" r:id="rId7"/>
          <w:footerReference w:type="default" r:id="rId8"/>
          <w:pgSz w:w="11906" w:h="16838"/>
          <w:pgMar w:top="1440" w:right="1440" w:bottom="1135" w:left="1440" w:header="708" w:footer="708" w:gutter="0"/>
          <w:cols w:space="708"/>
          <w:docGrid w:linePitch="360"/>
        </w:sectPr>
      </w:pPr>
    </w:p>
    <w:p w14:paraId="542A8D56" w14:textId="77777777" w:rsidR="003E5BE0" w:rsidRDefault="003E5BE0" w:rsidP="00DB5475">
      <w:pPr>
        <w:spacing w:after="120" w:line="276" w:lineRule="auto"/>
        <w:jc w:val="both"/>
        <w:rPr>
          <w:rFonts w:ascii="Bookman Old Style" w:hAnsi="Bookman Old Style"/>
          <w:b/>
          <w:sz w:val="22"/>
          <w:szCs w:val="22"/>
          <w:lang w:val="id-ID"/>
        </w:rPr>
      </w:pPr>
    </w:p>
    <w:p w14:paraId="6AC452E8" w14:textId="19906976" w:rsidR="00DB5475" w:rsidRPr="007F541B" w:rsidRDefault="00DB5475" w:rsidP="00DB5475">
      <w:pPr>
        <w:spacing w:after="120" w:line="276" w:lineRule="auto"/>
        <w:jc w:val="both"/>
        <w:rPr>
          <w:rFonts w:ascii="Bookman Old Style" w:hAnsi="Bookman Old Style"/>
          <w:sz w:val="22"/>
          <w:szCs w:val="22"/>
          <w:lang w:val="id-ID"/>
        </w:rPr>
      </w:pPr>
      <w:r w:rsidRPr="007F541B">
        <w:rPr>
          <w:rFonts w:ascii="Bookman Old Style" w:hAnsi="Bookman Old Style"/>
          <w:b/>
          <w:sz w:val="22"/>
          <w:szCs w:val="22"/>
          <w:lang w:val="id-ID"/>
        </w:rPr>
        <w:t>Perkembangan Pasar Modal, Derivatif Keuangan, dan Bursa Karbon (PMDK) </w:t>
      </w:r>
      <w:r w:rsidRPr="007F541B">
        <w:rPr>
          <w:rFonts w:ascii="Bookman Old Style" w:hAnsi="Bookman Old Style"/>
          <w:sz w:val="22"/>
          <w:szCs w:val="22"/>
          <w:lang w:val="id-ID"/>
        </w:rPr>
        <w:t xml:space="preserve">  </w:t>
      </w:r>
    </w:p>
    <w:p w14:paraId="08AD826C" w14:textId="59000121" w:rsidR="00DB5475" w:rsidRPr="007F541B" w:rsidRDefault="00D62B09" w:rsidP="00DB5475">
      <w:pPr>
        <w:spacing w:after="120" w:line="276" w:lineRule="auto"/>
        <w:jc w:val="both"/>
        <w:rPr>
          <w:rFonts w:ascii="Bookman Old Style" w:hAnsi="Bookman Old Style"/>
          <w:sz w:val="22"/>
          <w:szCs w:val="22"/>
          <w:lang w:val="id-ID"/>
        </w:rPr>
      </w:pPr>
      <w:r w:rsidRPr="00D62B09">
        <w:rPr>
          <w:noProof/>
        </w:rPr>
        <w:drawing>
          <wp:inline distT="0" distB="0" distL="0" distR="0" wp14:anchorId="3908BA5B" wp14:editId="443C6B62">
            <wp:extent cx="5731510" cy="2748915"/>
            <wp:effectExtent l="0" t="0" r="2540" b="0"/>
            <wp:docPr id="12018943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748915"/>
                    </a:xfrm>
                    <a:prstGeom prst="rect">
                      <a:avLst/>
                    </a:prstGeom>
                    <a:noFill/>
                    <a:ln>
                      <a:noFill/>
                    </a:ln>
                  </pic:spPr>
                </pic:pic>
              </a:graphicData>
            </a:graphic>
          </wp:inline>
        </w:drawing>
      </w:r>
    </w:p>
    <w:p w14:paraId="33AD3D1E" w14:textId="2F7110DF" w:rsidR="0011326C" w:rsidRPr="006B5B34" w:rsidRDefault="0011326C" w:rsidP="0011326C">
      <w:pPr>
        <w:spacing w:line="276" w:lineRule="auto"/>
        <w:jc w:val="both"/>
        <w:rPr>
          <w:rFonts w:ascii="Bookman Old Style" w:hAnsi="Bookman Old Style"/>
          <w:sz w:val="22"/>
          <w:szCs w:val="22"/>
          <w:lang w:val="id-ID"/>
        </w:rPr>
      </w:pPr>
      <w:r w:rsidRPr="00EC69AB">
        <w:rPr>
          <w:rFonts w:ascii="Bookman Old Style" w:hAnsi="Bookman Old Style"/>
          <w:sz w:val="22"/>
          <w:szCs w:val="22"/>
          <w:lang w:val="id-ID"/>
        </w:rPr>
        <w:t xml:space="preserve">Di tengah </w:t>
      </w:r>
      <w:r w:rsidRPr="00D242A2">
        <w:rPr>
          <w:rFonts w:ascii="Bookman Old Style" w:hAnsi="Bookman Old Style"/>
          <w:sz w:val="22"/>
          <w:szCs w:val="22"/>
          <w:lang w:val="id-ID"/>
        </w:rPr>
        <w:t xml:space="preserve">sentimen terhadap dinamika tensi perdagangan dan geopolitik global, kinerja pasar saham domestik pada 30 Juni 2025 di level 6.927,68 (secara </w:t>
      </w:r>
      <w:r w:rsidR="00082CCE">
        <w:rPr>
          <w:rFonts w:ascii="Bookman Old Style" w:hAnsi="Bookman Old Style"/>
          <w:i/>
          <w:iCs/>
          <w:sz w:val="22"/>
          <w:szCs w:val="22"/>
          <w:lang w:val="id-ID"/>
        </w:rPr>
        <w:t>ytd</w:t>
      </w:r>
      <w:r w:rsidRPr="00D242A2">
        <w:rPr>
          <w:rFonts w:ascii="Bookman Old Style" w:hAnsi="Bookman Old Style"/>
          <w:sz w:val="22"/>
          <w:szCs w:val="22"/>
          <w:lang w:val="id-ID"/>
        </w:rPr>
        <w:t xml:space="preserve"> melemah 2,15</w:t>
      </w:r>
      <w:r w:rsidR="00FE6E05">
        <w:rPr>
          <w:rFonts w:ascii="Bookman Old Style" w:hAnsi="Bookman Old Style"/>
          <w:sz w:val="22"/>
          <w:szCs w:val="22"/>
          <w:lang w:val="id-ID"/>
        </w:rPr>
        <w:t xml:space="preserve"> persen</w:t>
      </w:r>
      <w:r w:rsidRPr="00D242A2">
        <w:rPr>
          <w:rFonts w:ascii="Bookman Old Style" w:hAnsi="Bookman Old Style"/>
          <w:sz w:val="22"/>
          <w:szCs w:val="22"/>
          <w:lang w:val="id-ID"/>
        </w:rPr>
        <w:t xml:space="preserve">), namun </w:t>
      </w:r>
      <w:r w:rsidRPr="00D6168E">
        <w:rPr>
          <w:rFonts w:ascii="Bookman Old Style" w:hAnsi="Bookman Old Style"/>
          <w:sz w:val="22"/>
          <w:szCs w:val="22"/>
          <w:lang w:val="id-ID"/>
        </w:rPr>
        <w:t xml:space="preserve">per 31 Juli 2025, IHSG menunjukkan kinerja yang positif pada level 7.484,34 (secara </w:t>
      </w:r>
      <w:r w:rsidR="00FE6E05" w:rsidRPr="00D6168E">
        <w:rPr>
          <w:rFonts w:ascii="Bookman Old Style" w:hAnsi="Bookman Old Style"/>
          <w:i/>
          <w:iCs/>
          <w:sz w:val="22"/>
          <w:szCs w:val="22"/>
          <w:lang w:val="id-ID"/>
        </w:rPr>
        <w:t xml:space="preserve">ytd </w:t>
      </w:r>
      <w:r w:rsidRPr="00D6168E">
        <w:rPr>
          <w:rFonts w:ascii="Bookman Old Style" w:hAnsi="Bookman Old Style"/>
          <w:sz w:val="22"/>
          <w:szCs w:val="22"/>
          <w:lang w:val="id-ID"/>
        </w:rPr>
        <w:t>menguat 5,71</w:t>
      </w:r>
      <w:r w:rsidR="00FE6E05" w:rsidRPr="00D6168E">
        <w:rPr>
          <w:rFonts w:ascii="Bookman Old Style" w:hAnsi="Bookman Old Style"/>
          <w:sz w:val="22"/>
          <w:szCs w:val="22"/>
          <w:lang w:val="id-ID"/>
        </w:rPr>
        <w:t xml:space="preserve"> persen</w:t>
      </w:r>
      <w:r w:rsidRPr="00D6168E">
        <w:rPr>
          <w:rFonts w:ascii="Bookman Old Style" w:hAnsi="Bookman Old Style"/>
          <w:sz w:val="22"/>
          <w:szCs w:val="22"/>
          <w:lang w:val="id-ID"/>
        </w:rPr>
        <w:t xml:space="preserve">). Kinerja indeks sektoral </w:t>
      </w:r>
      <w:r w:rsidRPr="00D6168E">
        <w:rPr>
          <w:rFonts w:ascii="Bookman Old Style" w:hAnsi="Bookman Old Style"/>
          <w:i/>
          <w:sz w:val="22"/>
          <w:szCs w:val="22"/>
          <w:lang w:val="id-ID"/>
        </w:rPr>
        <w:t>mtd</w:t>
      </w:r>
      <w:r w:rsidRPr="00D6168E">
        <w:rPr>
          <w:rFonts w:ascii="Bookman Old Style" w:hAnsi="Bookman Old Style"/>
          <w:sz w:val="22"/>
          <w:szCs w:val="22"/>
          <w:lang w:val="id-ID"/>
        </w:rPr>
        <w:t xml:space="preserve"> </w:t>
      </w:r>
      <w:r w:rsidR="00082CCE" w:rsidRPr="00D6168E">
        <w:rPr>
          <w:rFonts w:ascii="Bookman Old Style" w:hAnsi="Bookman Old Style"/>
          <w:sz w:val="22"/>
          <w:szCs w:val="22"/>
          <w:lang w:val="id-ID"/>
        </w:rPr>
        <w:t>di</w:t>
      </w:r>
      <w:r w:rsidRPr="00D6168E">
        <w:rPr>
          <w:rFonts w:ascii="Bookman Old Style" w:hAnsi="Bookman Old Style"/>
          <w:sz w:val="22"/>
          <w:szCs w:val="22"/>
          <w:lang w:val="id-ID"/>
        </w:rPr>
        <w:t xml:space="preserve"> </w:t>
      </w:r>
      <w:r w:rsidR="00FF0DFC">
        <w:rPr>
          <w:rFonts w:ascii="Bookman Old Style" w:hAnsi="Bookman Old Style"/>
          <w:sz w:val="22"/>
          <w:szCs w:val="22"/>
          <w:lang w:val="id-ID"/>
        </w:rPr>
        <w:t xml:space="preserve">Bulan </w:t>
      </w:r>
      <w:r w:rsidRPr="00D6168E">
        <w:rPr>
          <w:rFonts w:ascii="Bookman Old Style" w:hAnsi="Bookman Old Style"/>
          <w:sz w:val="22"/>
          <w:szCs w:val="22"/>
          <w:lang w:val="id-ID"/>
        </w:rPr>
        <w:t>Juli 2025 seluruhnya mengalami peningkatan kinerja</w:t>
      </w:r>
      <w:r w:rsidRPr="007208FA">
        <w:rPr>
          <w:rFonts w:ascii="Bookman Old Style" w:hAnsi="Bookman Old Style"/>
          <w:sz w:val="22"/>
          <w:szCs w:val="22"/>
          <w:lang w:val="id-ID"/>
        </w:rPr>
        <w:t xml:space="preserve"> dengan </w:t>
      </w:r>
      <w:r w:rsidRPr="00D6168E">
        <w:rPr>
          <w:rFonts w:ascii="Bookman Old Style" w:hAnsi="Bookman Old Style"/>
          <w:sz w:val="22"/>
          <w:szCs w:val="22"/>
          <w:lang w:val="id-ID"/>
        </w:rPr>
        <w:t>penguatan terbesar pada sektor Teknologi, Infrastruktur dan Industrial</w:t>
      </w:r>
      <w:r w:rsidRPr="006B5B34">
        <w:rPr>
          <w:rFonts w:ascii="Bookman Old Style" w:hAnsi="Bookman Old Style"/>
          <w:sz w:val="22"/>
          <w:szCs w:val="22"/>
          <w:lang w:val="id-ID"/>
        </w:rPr>
        <w:t>.</w:t>
      </w:r>
    </w:p>
    <w:p w14:paraId="180E64F8" w14:textId="17AAFFEB" w:rsidR="0011326C" w:rsidRPr="006B5B34" w:rsidRDefault="3D839626" w:rsidP="0011326C">
      <w:pPr>
        <w:spacing w:line="276" w:lineRule="auto"/>
        <w:jc w:val="both"/>
        <w:rPr>
          <w:rFonts w:ascii="Bookman Old Style" w:hAnsi="Bookman Old Style"/>
          <w:sz w:val="22"/>
          <w:szCs w:val="22"/>
          <w:lang w:val="id-ID"/>
        </w:rPr>
      </w:pPr>
      <w:r w:rsidRPr="60578A58">
        <w:rPr>
          <w:rFonts w:ascii="Bookman Old Style" w:hAnsi="Bookman Old Style"/>
          <w:sz w:val="22"/>
          <w:szCs w:val="22"/>
          <w:lang w:val="id-ID"/>
        </w:rPr>
        <w:t xml:space="preserve">Nilai kapitalisasi pasar saham pada  Juli 2025 menyentuh </w:t>
      </w:r>
      <w:r w:rsidR="0A087784" w:rsidRPr="60578A58">
        <w:rPr>
          <w:rFonts w:ascii="Bookman Old Style" w:hAnsi="Bookman Old Style"/>
          <w:i/>
          <w:iCs/>
          <w:sz w:val="22"/>
          <w:szCs w:val="22"/>
          <w:lang w:val="id-ID"/>
        </w:rPr>
        <w:t>a</w:t>
      </w:r>
      <w:r w:rsidRPr="60578A58">
        <w:rPr>
          <w:rFonts w:ascii="Bookman Old Style" w:hAnsi="Bookman Old Style"/>
          <w:i/>
          <w:iCs/>
          <w:sz w:val="22"/>
          <w:szCs w:val="22"/>
          <w:lang w:val="id-ID"/>
        </w:rPr>
        <w:t xml:space="preserve">ll </w:t>
      </w:r>
      <w:r w:rsidR="0A087784" w:rsidRPr="60578A58">
        <w:rPr>
          <w:rFonts w:ascii="Bookman Old Style" w:hAnsi="Bookman Old Style"/>
          <w:i/>
          <w:iCs/>
          <w:sz w:val="22"/>
          <w:szCs w:val="22"/>
          <w:lang w:val="id-ID"/>
        </w:rPr>
        <w:t>t</w:t>
      </w:r>
      <w:r w:rsidRPr="60578A58">
        <w:rPr>
          <w:rFonts w:ascii="Bookman Old Style" w:hAnsi="Bookman Old Style"/>
          <w:i/>
          <w:iCs/>
          <w:sz w:val="22"/>
          <w:szCs w:val="22"/>
          <w:lang w:val="id-ID"/>
        </w:rPr>
        <w:t xml:space="preserve">ime </w:t>
      </w:r>
      <w:r w:rsidR="0A087784" w:rsidRPr="60578A58">
        <w:rPr>
          <w:rFonts w:ascii="Bookman Old Style" w:hAnsi="Bookman Old Style"/>
          <w:i/>
          <w:iCs/>
          <w:sz w:val="22"/>
          <w:szCs w:val="22"/>
          <w:lang w:val="id-ID"/>
        </w:rPr>
        <w:t>h</w:t>
      </w:r>
      <w:r w:rsidRPr="60578A58">
        <w:rPr>
          <w:rFonts w:ascii="Bookman Old Style" w:hAnsi="Bookman Old Style"/>
          <w:i/>
          <w:iCs/>
          <w:sz w:val="22"/>
          <w:szCs w:val="22"/>
          <w:lang w:val="id-ID"/>
        </w:rPr>
        <w:t>igh</w:t>
      </w:r>
      <w:r w:rsidRPr="60578A58">
        <w:rPr>
          <w:rFonts w:ascii="Bookman Old Style" w:hAnsi="Bookman Old Style"/>
          <w:sz w:val="22"/>
          <w:szCs w:val="22"/>
          <w:lang w:val="id-ID"/>
        </w:rPr>
        <w:t xml:space="preserve"> selama tiga hari berturut-turut dan puncaknya tercatat pada tanggal 29 Juli 2025 di nilai Rp13.701 triliun. Pada akhir Juli 2025 nilai kapitalisasi tercatat di Rp13.492 triliun. Sementara itu, investor </w:t>
      </w:r>
      <w:r w:rsidRPr="60578A58">
        <w:rPr>
          <w:rFonts w:ascii="Bookman Old Style" w:hAnsi="Bookman Old Style"/>
          <w:i/>
          <w:iCs/>
          <w:sz w:val="22"/>
          <w:szCs w:val="22"/>
          <w:lang w:val="id-ID"/>
        </w:rPr>
        <w:t>non</w:t>
      </w:r>
      <w:r w:rsidR="70674D45" w:rsidRPr="60578A58">
        <w:rPr>
          <w:rFonts w:ascii="Bookman Old Style" w:hAnsi="Bookman Old Style"/>
          <w:i/>
          <w:iCs/>
          <w:sz w:val="22"/>
          <w:szCs w:val="22"/>
          <w:lang w:val="id-ID"/>
        </w:rPr>
        <w:t>-</w:t>
      </w:r>
      <w:r w:rsidRPr="60578A58">
        <w:rPr>
          <w:rFonts w:ascii="Bookman Old Style" w:hAnsi="Bookman Old Style"/>
          <w:i/>
          <w:iCs/>
          <w:sz w:val="22"/>
          <w:szCs w:val="22"/>
          <w:lang w:val="id-ID"/>
        </w:rPr>
        <w:t>residen</w:t>
      </w:r>
      <w:r w:rsidR="70674D45" w:rsidRPr="60578A58">
        <w:rPr>
          <w:rFonts w:ascii="Bookman Old Style" w:hAnsi="Bookman Old Style"/>
          <w:i/>
          <w:iCs/>
          <w:sz w:val="22"/>
          <w:szCs w:val="22"/>
          <w:lang w:val="id-ID"/>
        </w:rPr>
        <w:t>t</w:t>
      </w:r>
      <w:r w:rsidRPr="60578A58">
        <w:rPr>
          <w:rFonts w:ascii="Bookman Old Style" w:hAnsi="Bookman Old Style"/>
          <w:sz w:val="22"/>
          <w:szCs w:val="22"/>
          <w:lang w:val="id-ID"/>
        </w:rPr>
        <w:t xml:space="preserve"> di Juli 2025 membukukan </w:t>
      </w:r>
      <w:r w:rsidRPr="60578A58">
        <w:rPr>
          <w:rFonts w:ascii="Bookman Old Style" w:hAnsi="Bookman Old Style"/>
          <w:i/>
          <w:iCs/>
          <w:sz w:val="22"/>
          <w:szCs w:val="22"/>
          <w:lang w:val="id-ID"/>
        </w:rPr>
        <w:t>net sell</w:t>
      </w:r>
      <w:r w:rsidRPr="60578A58">
        <w:rPr>
          <w:rFonts w:ascii="Bookman Old Style" w:hAnsi="Bookman Old Style"/>
          <w:sz w:val="22"/>
          <w:szCs w:val="22"/>
          <w:lang w:val="id-ID"/>
        </w:rPr>
        <w:t xml:space="preserve"> sebesar Rp8,34 triliun </w:t>
      </w:r>
      <w:r w:rsidRPr="60578A58">
        <w:rPr>
          <w:rFonts w:ascii="Bookman Old Style" w:hAnsi="Bookman Old Style"/>
          <w:i/>
          <w:iCs/>
          <w:sz w:val="22"/>
          <w:szCs w:val="22"/>
          <w:lang w:val="id-ID"/>
        </w:rPr>
        <w:t>mtd</w:t>
      </w:r>
      <w:r w:rsidRPr="60578A58">
        <w:rPr>
          <w:rFonts w:ascii="Bookman Old Style" w:hAnsi="Bookman Old Style"/>
          <w:sz w:val="22"/>
          <w:szCs w:val="22"/>
          <w:lang w:val="id-ID"/>
        </w:rPr>
        <w:t xml:space="preserve"> (secara </w:t>
      </w:r>
      <w:r w:rsidRPr="60578A58">
        <w:rPr>
          <w:rFonts w:ascii="Bookman Old Style" w:hAnsi="Bookman Old Style"/>
          <w:i/>
          <w:iCs/>
          <w:sz w:val="22"/>
          <w:szCs w:val="22"/>
          <w:lang w:val="id-ID"/>
        </w:rPr>
        <w:t xml:space="preserve">ytd net sell </w:t>
      </w:r>
      <w:r w:rsidRPr="60578A58">
        <w:rPr>
          <w:rFonts w:ascii="Bookman Old Style" w:hAnsi="Bookman Old Style"/>
          <w:sz w:val="22"/>
          <w:szCs w:val="22"/>
          <w:lang w:val="id-ID"/>
        </w:rPr>
        <w:t xml:space="preserve">sebesar Rp61,91 triliun). </w:t>
      </w:r>
    </w:p>
    <w:p w14:paraId="7B4432FD" w14:textId="4C32CEEB" w:rsidR="0011326C" w:rsidRPr="00395927" w:rsidRDefault="0011326C" w:rsidP="0011326C">
      <w:pPr>
        <w:spacing w:after="120" w:line="276" w:lineRule="auto"/>
        <w:jc w:val="both"/>
        <w:rPr>
          <w:rFonts w:ascii="Bookman Old Style" w:hAnsi="Bookman Old Style"/>
          <w:sz w:val="22"/>
          <w:szCs w:val="22"/>
          <w:lang w:val="id-ID"/>
        </w:rPr>
      </w:pPr>
      <w:r w:rsidRPr="006B5B34">
        <w:rPr>
          <w:rFonts w:ascii="Bookman Old Style" w:hAnsi="Bookman Old Style"/>
          <w:sz w:val="22"/>
          <w:szCs w:val="22"/>
          <w:lang w:val="id-ID"/>
        </w:rPr>
        <w:t xml:space="preserve">Di sisi likuiditas transaksi, </w:t>
      </w:r>
      <w:r w:rsidRPr="00D6168E">
        <w:rPr>
          <w:rFonts w:ascii="Bookman Old Style" w:hAnsi="Bookman Old Style"/>
          <w:sz w:val="22"/>
          <w:szCs w:val="22"/>
          <w:lang w:val="id-ID"/>
        </w:rPr>
        <w:t xml:space="preserve">rerata nilai transaksi harian pasar saham per Juli 2025 secara </w:t>
      </w:r>
      <w:r w:rsidRPr="00D6168E">
        <w:rPr>
          <w:rFonts w:ascii="Bookman Old Style" w:hAnsi="Bookman Old Style"/>
          <w:i/>
          <w:sz w:val="22"/>
          <w:szCs w:val="22"/>
          <w:lang w:val="id-ID"/>
        </w:rPr>
        <w:t>ytd</w:t>
      </w:r>
      <w:r w:rsidRPr="00D6168E">
        <w:rPr>
          <w:rFonts w:ascii="Bookman Old Style" w:hAnsi="Bookman Old Style"/>
          <w:sz w:val="22"/>
          <w:szCs w:val="22"/>
          <w:lang w:val="id-ID"/>
        </w:rPr>
        <w:t xml:space="preserve"> tercatat Rp13,42 triliun</w:t>
      </w:r>
      <w:r w:rsidRPr="006B5B34">
        <w:rPr>
          <w:rFonts w:ascii="Bookman Old Style" w:hAnsi="Bookman Old Style"/>
          <w:sz w:val="22"/>
          <w:szCs w:val="22"/>
          <w:lang w:val="id-ID"/>
        </w:rPr>
        <w:t>,</w:t>
      </w:r>
      <w:r w:rsidRPr="00D242A2">
        <w:rPr>
          <w:rFonts w:ascii="Bookman Old Style" w:hAnsi="Bookman Old Style"/>
          <w:sz w:val="22"/>
          <w:szCs w:val="22"/>
          <w:lang w:val="id-ID"/>
        </w:rPr>
        <w:t xml:space="preserve"> menunjukkan peningkatan dibandingkan </w:t>
      </w:r>
      <w:r>
        <w:rPr>
          <w:rFonts w:ascii="Bookman Old Style" w:hAnsi="Bookman Old Style"/>
          <w:sz w:val="22"/>
          <w:szCs w:val="22"/>
          <w:lang w:val="id-ID"/>
        </w:rPr>
        <w:t xml:space="preserve">rerata </w:t>
      </w:r>
      <w:r w:rsidRPr="007D5F24">
        <w:rPr>
          <w:rFonts w:ascii="Bookman Old Style" w:hAnsi="Bookman Old Style"/>
          <w:i/>
          <w:iCs/>
          <w:sz w:val="22"/>
          <w:szCs w:val="22"/>
          <w:lang w:val="id-ID"/>
        </w:rPr>
        <w:t>ytd</w:t>
      </w:r>
      <w:r>
        <w:rPr>
          <w:rFonts w:ascii="Bookman Old Style" w:hAnsi="Bookman Old Style"/>
          <w:sz w:val="22"/>
          <w:szCs w:val="22"/>
          <w:lang w:val="id-ID"/>
        </w:rPr>
        <w:t xml:space="preserve"> posisi </w:t>
      </w:r>
      <w:r w:rsidRPr="00D242A2">
        <w:rPr>
          <w:rFonts w:ascii="Bookman Old Style" w:hAnsi="Bookman Old Style"/>
          <w:sz w:val="22"/>
          <w:szCs w:val="22"/>
          <w:lang w:val="id-ID"/>
        </w:rPr>
        <w:t xml:space="preserve">akhir Juni 2025 </w:t>
      </w:r>
      <w:r w:rsidR="00F646A7">
        <w:rPr>
          <w:rFonts w:ascii="Bookman Old Style" w:hAnsi="Bookman Old Style"/>
          <w:sz w:val="22"/>
          <w:szCs w:val="22"/>
          <w:lang w:val="id-ID"/>
        </w:rPr>
        <w:t>yang</w:t>
      </w:r>
      <w:r w:rsidRPr="00D242A2">
        <w:rPr>
          <w:rFonts w:ascii="Bookman Old Style" w:hAnsi="Bookman Old Style"/>
          <w:sz w:val="22"/>
          <w:szCs w:val="22"/>
          <w:lang w:val="id-ID"/>
        </w:rPr>
        <w:t xml:space="preserve"> sebesar Rp13,29 triliun dan sudah lebih baik dari rerata nilai transaksi tahun 2024 yaitu Rp12,85</w:t>
      </w:r>
      <w:r w:rsidRPr="00395927">
        <w:rPr>
          <w:rFonts w:ascii="Bookman Old Style" w:hAnsi="Bookman Old Style"/>
          <w:sz w:val="22"/>
          <w:szCs w:val="22"/>
          <w:lang w:val="id-ID"/>
        </w:rPr>
        <w:t xml:space="preserve"> triliun.</w:t>
      </w:r>
    </w:p>
    <w:p w14:paraId="5F23F2D9" w14:textId="7AE9C253" w:rsidR="00045246" w:rsidRPr="000E2171" w:rsidRDefault="6799BF2E" w:rsidP="6799BF2E">
      <w:pPr>
        <w:spacing w:after="120" w:line="276" w:lineRule="auto"/>
        <w:jc w:val="both"/>
        <w:rPr>
          <w:rFonts w:ascii="Bookman Old Style" w:hAnsi="Bookman Old Style"/>
          <w:sz w:val="22"/>
          <w:szCs w:val="22"/>
          <w:lang w:val="id-ID"/>
        </w:rPr>
      </w:pPr>
      <w:r w:rsidRPr="000E2171">
        <w:rPr>
          <w:rFonts w:ascii="Bookman Old Style" w:hAnsi="Bookman Old Style"/>
          <w:sz w:val="22"/>
          <w:szCs w:val="22"/>
          <w:lang w:val="id-ID"/>
        </w:rPr>
        <w:t xml:space="preserve">Di pasar obligasi, indeks pasar obligasi ICBI menguat 1,17 persen </w:t>
      </w:r>
      <w:r w:rsidRPr="000E2171">
        <w:rPr>
          <w:rFonts w:ascii="Bookman Old Style" w:hAnsi="Bookman Old Style"/>
          <w:i/>
          <w:iCs/>
          <w:sz w:val="22"/>
          <w:szCs w:val="22"/>
          <w:lang w:val="id-ID"/>
        </w:rPr>
        <w:t>mtd</w:t>
      </w:r>
      <w:r w:rsidRPr="000E2171">
        <w:rPr>
          <w:rFonts w:ascii="Bookman Old Style" w:hAnsi="Bookman Old Style"/>
          <w:sz w:val="22"/>
          <w:szCs w:val="22"/>
          <w:lang w:val="id-ID"/>
        </w:rPr>
        <w:t xml:space="preserve"> ke level 418,84, dengan </w:t>
      </w:r>
      <w:r w:rsidRPr="000E2171">
        <w:rPr>
          <w:rFonts w:ascii="Bookman Old Style" w:hAnsi="Bookman Old Style"/>
          <w:i/>
          <w:iCs/>
          <w:sz w:val="22"/>
          <w:szCs w:val="22"/>
          <w:lang w:val="id-ID"/>
        </w:rPr>
        <w:t>yield</w:t>
      </w:r>
      <w:r w:rsidRPr="000E2171">
        <w:rPr>
          <w:rFonts w:ascii="Bookman Old Style" w:hAnsi="Bookman Old Style"/>
          <w:sz w:val="22"/>
          <w:szCs w:val="22"/>
          <w:lang w:val="id-ID"/>
        </w:rPr>
        <w:t xml:space="preserve"> SBN rata-rata turun 10,82 bps </w:t>
      </w:r>
      <w:r w:rsidRPr="000E2171">
        <w:rPr>
          <w:rFonts w:ascii="Bookman Old Style" w:hAnsi="Bookman Old Style"/>
          <w:i/>
          <w:iCs/>
          <w:sz w:val="22"/>
          <w:szCs w:val="22"/>
          <w:lang w:val="id-ID"/>
        </w:rPr>
        <w:t>mtd</w:t>
      </w:r>
      <w:r w:rsidRPr="000E2171">
        <w:rPr>
          <w:rFonts w:ascii="Bookman Old Style" w:hAnsi="Bookman Old Style"/>
          <w:sz w:val="22"/>
          <w:szCs w:val="22"/>
          <w:lang w:val="id-ID"/>
        </w:rPr>
        <w:t xml:space="preserve"> (</w:t>
      </w:r>
      <w:r w:rsidRPr="000E2171">
        <w:rPr>
          <w:rFonts w:ascii="Bookman Old Style" w:hAnsi="Bookman Old Style"/>
          <w:i/>
          <w:iCs/>
          <w:sz w:val="22"/>
          <w:szCs w:val="22"/>
          <w:lang w:val="id-ID"/>
        </w:rPr>
        <w:t>ytd</w:t>
      </w:r>
      <w:r w:rsidRPr="000E2171">
        <w:rPr>
          <w:rFonts w:ascii="Bookman Old Style" w:hAnsi="Bookman Old Style"/>
          <w:sz w:val="22"/>
          <w:szCs w:val="22"/>
          <w:lang w:val="id-ID"/>
        </w:rPr>
        <w:t xml:space="preserve"> turun 41,10 bps). Per 30 Juli 2025 investor </w:t>
      </w:r>
      <w:r w:rsidRPr="000E2171">
        <w:rPr>
          <w:rFonts w:ascii="Bookman Old Style" w:hAnsi="Bookman Old Style"/>
          <w:i/>
          <w:iCs/>
          <w:sz w:val="22"/>
          <w:szCs w:val="22"/>
          <w:lang w:val="id-ID"/>
        </w:rPr>
        <w:t>non-resident</w:t>
      </w:r>
      <w:r w:rsidRPr="000E2171">
        <w:rPr>
          <w:rFonts w:ascii="Bookman Old Style" w:hAnsi="Bookman Old Style"/>
          <w:sz w:val="22"/>
          <w:szCs w:val="22"/>
          <w:lang w:val="id-ID"/>
        </w:rPr>
        <w:t xml:space="preserve"> mencatatkan </w:t>
      </w:r>
      <w:r w:rsidRPr="000E2171">
        <w:rPr>
          <w:rFonts w:ascii="Bookman Old Style" w:hAnsi="Bookman Old Style"/>
          <w:i/>
          <w:iCs/>
          <w:sz w:val="22"/>
          <w:szCs w:val="22"/>
          <w:lang w:val="id-ID"/>
        </w:rPr>
        <w:t>net buy</w:t>
      </w:r>
      <w:r w:rsidRPr="000E2171">
        <w:rPr>
          <w:rFonts w:ascii="Bookman Old Style" w:hAnsi="Bookman Old Style"/>
          <w:sz w:val="22"/>
          <w:szCs w:val="22"/>
          <w:lang w:val="id-ID"/>
        </w:rPr>
        <w:t xml:space="preserve"> sebesar Rp13,28 triliun secara </w:t>
      </w:r>
      <w:r w:rsidRPr="000E2171">
        <w:rPr>
          <w:rFonts w:ascii="Bookman Old Style" w:hAnsi="Bookman Old Style"/>
          <w:i/>
          <w:iCs/>
          <w:sz w:val="22"/>
          <w:szCs w:val="22"/>
          <w:lang w:val="id-ID"/>
        </w:rPr>
        <w:t xml:space="preserve">mtd </w:t>
      </w:r>
      <w:r w:rsidRPr="000E2171">
        <w:rPr>
          <w:rFonts w:ascii="Bookman Old Style" w:hAnsi="Bookman Old Style"/>
          <w:sz w:val="22"/>
          <w:szCs w:val="22"/>
          <w:lang w:val="id-ID"/>
        </w:rPr>
        <w:t>(</w:t>
      </w:r>
      <w:r w:rsidRPr="000E2171">
        <w:rPr>
          <w:rFonts w:ascii="Bookman Old Style" w:hAnsi="Bookman Old Style"/>
          <w:i/>
          <w:iCs/>
          <w:sz w:val="22"/>
          <w:szCs w:val="22"/>
          <w:lang w:val="id-ID"/>
        </w:rPr>
        <w:t>ytd</w:t>
      </w:r>
      <w:r w:rsidRPr="000E2171">
        <w:rPr>
          <w:rFonts w:ascii="Bookman Old Style" w:hAnsi="Bookman Old Style"/>
          <w:sz w:val="22"/>
          <w:szCs w:val="22"/>
          <w:lang w:val="id-ID"/>
        </w:rPr>
        <w:t xml:space="preserve">: </w:t>
      </w:r>
      <w:r w:rsidRPr="000E2171">
        <w:rPr>
          <w:rFonts w:ascii="Bookman Old Style" w:hAnsi="Bookman Old Style"/>
          <w:i/>
          <w:iCs/>
          <w:sz w:val="22"/>
          <w:szCs w:val="22"/>
          <w:lang w:val="id-ID"/>
        </w:rPr>
        <w:t>net buy</w:t>
      </w:r>
      <w:r w:rsidRPr="000E2171">
        <w:rPr>
          <w:rFonts w:ascii="Bookman Old Style" w:hAnsi="Bookman Old Style"/>
          <w:sz w:val="22"/>
          <w:szCs w:val="22"/>
          <w:lang w:val="id-ID"/>
        </w:rPr>
        <w:t xml:space="preserve"> Rp55,32 triliun). Untuk pasar obligasi korporasi, investor </w:t>
      </w:r>
      <w:r w:rsidRPr="000E2171">
        <w:rPr>
          <w:rFonts w:ascii="Bookman Old Style" w:hAnsi="Bookman Old Style"/>
          <w:i/>
          <w:iCs/>
          <w:sz w:val="22"/>
          <w:szCs w:val="22"/>
          <w:lang w:val="id-ID"/>
        </w:rPr>
        <w:t>non-resident</w:t>
      </w:r>
      <w:r w:rsidRPr="000E2171">
        <w:rPr>
          <w:rFonts w:ascii="Bookman Old Style" w:hAnsi="Bookman Old Style"/>
          <w:sz w:val="22"/>
          <w:szCs w:val="22"/>
          <w:lang w:val="id-ID"/>
        </w:rPr>
        <w:t xml:space="preserve"> mencatatkan </w:t>
      </w:r>
      <w:r w:rsidRPr="000E2171">
        <w:rPr>
          <w:rFonts w:ascii="Bookman Old Style" w:hAnsi="Bookman Old Style"/>
          <w:i/>
          <w:iCs/>
          <w:sz w:val="22"/>
          <w:szCs w:val="22"/>
          <w:lang w:val="id-ID"/>
        </w:rPr>
        <w:t>net buy</w:t>
      </w:r>
      <w:r w:rsidRPr="000E2171">
        <w:rPr>
          <w:rFonts w:ascii="Bookman Old Style" w:hAnsi="Bookman Old Style"/>
          <w:sz w:val="22"/>
          <w:szCs w:val="22"/>
          <w:lang w:val="id-ID"/>
        </w:rPr>
        <w:t xml:space="preserve"> sebesar Rp0,32 triliun secara </w:t>
      </w:r>
      <w:r w:rsidRPr="000E2171">
        <w:rPr>
          <w:rFonts w:ascii="Bookman Old Style" w:hAnsi="Bookman Old Style"/>
          <w:i/>
          <w:iCs/>
          <w:sz w:val="22"/>
          <w:szCs w:val="22"/>
          <w:lang w:val="id-ID"/>
        </w:rPr>
        <w:t>mtd</w:t>
      </w:r>
      <w:r w:rsidRPr="000E2171">
        <w:rPr>
          <w:rFonts w:ascii="Bookman Old Style" w:hAnsi="Bookman Old Style"/>
          <w:sz w:val="22"/>
          <w:szCs w:val="22"/>
          <w:lang w:val="id-ID"/>
        </w:rPr>
        <w:t xml:space="preserve"> (</w:t>
      </w:r>
      <w:r w:rsidRPr="000E2171">
        <w:rPr>
          <w:rFonts w:ascii="Bookman Old Style" w:hAnsi="Bookman Old Style"/>
          <w:i/>
          <w:iCs/>
          <w:sz w:val="22"/>
          <w:szCs w:val="22"/>
          <w:lang w:val="id-ID"/>
        </w:rPr>
        <w:t>net sell</w:t>
      </w:r>
      <w:r w:rsidRPr="000E2171">
        <w:rPr>
          <w:rFonts w:ascii="Bookman Old Style" w:hAnsi="Bookman Old Style"/>
          <w:sz w:val="22"/>
          <w:szCs w:val="22"/>
          <w:lang w:val="id-ID"/>
        </w:rPr>
        <w:t xml:space="preserve"> Rp1,08 triliun </w:t>
      </w:r>
      <w:r w:rsidRPr="000E2171">
        <w:rPr>
          <w:rFonts w:ascii="Bookman Old Style" w:hAnsi="Bookman Old Style"/>
          <w:i/>
          <w:iCs/>
          <w:sz w:val="22"/>
          <w:szCs w:val="22"/>
          <w:lang w:val="id-ID"/>
        </w:rPr>
        <w:t>ytd</w:t>
      </w:r>
      <w:r w:rsidRPr="000E2171">
        <w:rPr>
          <w:rFonts w:ascii="Bookman Old Style" w:hAnsi="Bookman Old Style"/>
          <w:sz w:val="22"/>
          <w:szCs w:val="22"/>
          <w:lang w:val="id-ID"/>
        </w:rPr>
        <w:t xml:space="preserve">).   </w:t>
      </w:r>
    </w:p>
    <w:p w14:paraId="0CB21387" w14:textId="487359AF" w:rsidR="00DB5475" w:rsidRPr="00D6168E" w:rsidRDefault="00DB5475" w:rsidP="00045246">
      <w:pPr>
        <w:spacing w:after="120" w:line="276" w:lineRule="auto"/>
        <w:jc w:val="both"/>
        <w:rPr>
          <w:rFonts w:ascii="Bookman Old Style" w:hAnsi="Bookman Old Style"/>
          <w:sz w:val="22"/>
          <w:szCs w:val="22"/>
          <w:lang w:val="id-ID"/>
        </w:rPr>
      </w:pPr>
      <w:r w:rsidRPr="00D6168E">
        <w:rPr>
          <w:rFonts w:ascii="Bookman Old Style" w:hAnsi="Bookman Old Style"/>
          <w:sz w:val="22"/>
          <w:szCs w:val="22"/>
          <w:lang w:val="id-ID"/>
        </w:rPr>
        <w:t xml:space="preserve">Di industri pengelolaan investasi, </w:t>
      </w:r>
      <w:r w:rsidR="005C5B2D" w:rsidRPr="005C5B2D">
        <w:rPr>
          <w:rFonts w:ascii="Bookman Old Style" w:hAnsi="Bookman Old Style"/>
          <w:sz w:val="22"/>
          <w:szCs w:val="22"/>
          <w:lang w:val="id-ID"/>
        </w:rPr>
        <w:t xml:space="preserve">per 31 Juli 2025 nilai </w:t>
      </w:r>
      <w:r w:rsidR="005C5B2D" w:rsidRPr="00D6168E">
        <w:rPr>
          <w:rFonts w:ascii="Bookman Old Style" w:hAnsi="Bookman Old Style"/>
          <w:i/>
          <w:iCs/>
          <w:sz w:val="22"/>
          <w:szCs w:val="22"/>
          <w:lang w:val="id-ID"/>
        </w:rPr>
        <w:t>Asset Under Management</w:t>
      </w:r>
      <w:r w:rsidR="005C5B2D" w:rsidRPr="005C5B2D">
        <w:rPr>
          <w:rFonts w:ascii="Bookman Old Style" w:hAnsi="Bookman Old Style"/>
          <w:sz w:val="22"/>
          <w:szCs w:val="22"/>
          <w:lang w:val="id-ID"/>
        </w:rPr>
        <w:t xml:space="preserve"> (AUM) tercatat sebesar Rp856,62 triliun (naik 1,95 persen </w:t>
      </w:r>
      <w:r w:rsidR="005C5B2D" w:rsidRPr="00D6168E">
        <w:rPr>
          <w:rFonts w:ascii="Bookman Old Style" w:hAnsi="Bookman Old Style"/>
          <w:i/>
          <w:sz w:val="22"/>
          <w:szCs w:val="22"/>
          <w:lang w:val="id-ID"/>
        </w:rPr>
        <w:t>mtd</w:t>
      </w:r>
      <w:r w:rsidR="005C5B2D" w:rsidRPr="005C5B2D">
        <w:rPr>
          <w:rFonts w:ascii="Bookman Old Style" w:hAnsi="Bookman Old Style"/>
          <w:sz w:val="22"/>
          <w:szCs w:val="22"/>
          <w:lang w:val="id-ID"/>
        </w:rPr>
        <w:t xml:space="preserve"> atau naik 2,30 persen </w:t>
      </w:r>
      <w:r w:rsidR="005C5B2D" w:rsidRPr="00D6168E">
        <w:rPr>
          <w:rFonts w:ascii="Bookman Old Style" w:hAnsi="Bookman Old Style"/>
          <w:i/>
          <w:sz w:val="22"/>
          <w:szCs w:val="22"/>
          <w:lang w:val="id-ID"/>
        </w:rPr>
        <w:t>ytd</w:t>
      </w:r>
      <w:r w:rsidR="005C5B2D" w:rsidRPr="005C5B2D">
        <w:rPr>
          <w:rFonts w:ascii="Bookman Old Style" w:hAnsi="Bookman Old Style"/>
          <w:sz w:val="22"/>
          <w:szCs w:val="22"/>
          <w:lang w:val="id-ID"/>
        </w:rPr>
        <w:t xml:space="preserve">), dengan Nilai Aktiva Bersih (NAB) reksa dana tercatat sebesar Rp526,53 triliun atau naik 3,21 persen </w:t>
      </w:r>
      <w:r w:rsidR="005C5B2D" w:rsidRPr="00D6168E">
        <w:rPr>
          <w:rFonts w:ascii="Bookman Old Style" w:hAnsi="Bookman Old Style"/>
          <w:i/>
          <w:sz w:val="22"/>
          <w:szCs w:val="22"/>
          <w:lang w:val="id-ID"/>
        </w:rPr>
        <w:t>mtd</w:t>
      </w:r>
      <w:r w:rsidR="005C5B2D" w:rsidRPr="005C5B2D">
        <w:rPr>
          <w:rFonts w:ascii="Bookman Old Style" w:hAnsi="Bookman Old Style"/>
          <w:sz w:val="22"/>
          <w:szCs w:val="22"/>
          <w:lang w:val="id-ID"/>
        </w:rPr>
        <w:t xml:space="preserve"> (</w:t>
      </w:r>
      <w:r w:rsidR="005C5B2D" w:rsidRPr="00D6168E">
        <w:rPr>
          <w:rFonts w:ascii="Bookman Old Style" w:hAnsi="Bookman Old Style"/>
          <w:i/>
          <w:sz w:val="22"/>
          <w:szCs w:val="22"/>
          <w:lang w:val="id-ID"/>
        </w:rPr>
        <w:t>ytd</w:t>
      </w:r>
      <w:r w:rsidR="005C5B2D" w:rsidRPr="005C5B2D">
        <w:rPr>
          <w:rFonts w:ascii="Bookman Old Style" w:hAnsi="Bookman Old Style"/>
          <w:sz w:val="22"/>
          <w:szCs w:val="22"/>
          <w:lang w:val="id-ID"/>
        </w:rPr>
        <w:t xml:space="preserve">: naik 5,46 persen) dan tercatat </w:t>
      </w:r>
      <w:r w:rsidR="005C5B2D" w:rsidRPr="00D6168E">
        <w:rPr>
          <w:rFonts w:ascii="Bookman Old Style" w:hAnsi="Bookman Old Style"/>
          <w:i/>
          <w:iCs/>
          <w:sz w:val="22"/>
          <w:szCs w:val="22"/>
          <w:lang w:val="id-ID"/>
        </w:rPr>
        <w:t>net subscription</w:t>
      </w:r>
      <w:r w:rsidR="005C5B2D" w:rsidRPr="005C5B2D">
        <w:rPr>
          <w:rFonts w:ascii="Bookman Old Style" w:hAnsi="Bookman Old Style"/>
          <w:sz w:val="22"/>
          <w:szCs w:val="22"/>
          <w:lang w:val="id-ID"/>
        </w:rPr>
        <w:t xml:space="preserve"> sebesar Rp14,43 triliun secara </w:t>
      </w:r>
      <w:r w:rsidR="005C5B2D" w:rsidRPr="00D6168E">
        <w:rPr>
          <w:rFonts w:ascii="Bookman Old Style" w:hAnsi="Bookman Old Style"/>
          <w:i/>
          <w:sz w:val="22"/>
          <w:szCs w:val="22"/>
          <w:lang w:val="id-ID"/>
        </w:rPr>
        <w:t>mtd</w:t>
      </w:r>
      <w:r w:rsidR="005C5B2D" w:rsidRPr="005C5B2D">
        <w:rPr>
          <w:rFonts w:ascii="Bookman Old Style" w:hAnsi="Bookman Old Style"/>
          <w:sz w:val="22"/>
          <w:szCs w:val="22"/>
          <w:lang w:val="id-ID"/>
        </w:rPr>
        <w:t xml:space="preserve"> (</w:t>
      </w:r>
      <w:r w:rsidR="005C5B2D" w:rsidRPr="00D6168E">
        <w:rPr>
          <w:rFonts w:ascii="Bookman Old Style" w:hAnsi="Bookman Old Style"/>
          <w:i/>
          <w:sz w:val="22"/>
          <w:szCs w:val="22"/>
          <w:lang w:val="id-ID"/>
        </w:rPr>
        <w:t>ytd</w:t>
      </w:r>
      <w:r w:rsidR="005C5B2D" w:rsidRPr="005C5B2D">
        <w:rPr>
          <w:rFonts w:ascii="Bookman Old Style" w:hAnsi="Bookman Old Style"/>
          <w:sz w:val="22"/>
          <w:szCs w:val="22"/>
          <w:lang w:val="id-ID"/>
        </w:rPr>
        <w:t xml:space="preserve">: </w:t>
      </w:r>
      <w:r w:rsidR="005C5B2D" w:rsidRPr="00D6168E">
        <w:rPr>
          <w:rFonts w:ascii="Bookman Old Style" w:hAnsi="Bookman Old Style"/>
          <w:i/>
          <w:iCs/>
          <w:sz w:val="22"/>
          <w:szCs w:val="22"/>
          <w:lang w:val="id-ID"/>
        </w:rPr>
        <w:t>net subscription</w:t>
      </w:r>
      <w:r w:rsidR="005C5B2D" w:rsidRPr="005C5B2D">
        <w:rPr>
          <w:rFonts w:ascii="Bookman Old Style" w:hAnsi="Bookman Old Style"/>
          <w:sz w:val="22"/>
          <w:szCs w:val="22"/>
          <w:lang w:val="id-ID"/>
        </w:rPr>
        <w:t xml:space="preserve"> Rp12,40 triliun).</w:t>
      </w:r>
      <w:r w:rsidR="00FC793C" w:rsidRPr="00D6168E">
        <w:rPr>
          <w:rFonts w:ascii="Bookman Old Style" w:hAnsi="Bookman Old Style"/>
          <w:sz w:val="22"/>
          <w:szCs w:val="22"/>
          <w:lang w:val="id-ID"/>
        </w:rPr>
        <w:t xml:space="preserve"> </w:t>
      </w:r>
    </w:p>
    <w:p w14:paraId="26A3D9DE" w14:textId="7F2EE0E3" w:rsidR="00DB5475" w:rsidRPr="007F541B" w:rsidRDefault="00DB5475" w:rsidP="00DB5475">
      <w:pPr>
        <w:spacing w:line="276" w:lineRule="auto"/>
        <w:jc w:val="both"/>
        <w:rPr>
          <w:rFonts w:ascii="Bookman Old Style" w:hAnsi="Bookman Old Style"/>
          <w:sz w:val="22"/>
          <w:szCs w:val="22"/>
          <w:highlight w:val="yellow"/>
          <w:lang w:val="id-ID"/>
        </w:rPr>
      </w:pPr>
      <w:r w:rsidRPr="007F541B">
        <w:rPr>
          <w:rFonts w:ascii="Bookman Old Style" w:hAnsi="Bookman Old Style"/>
          <w:sz w:val="22"/>
          <w:szCs w:val="22"/>
          <w:lang w:val="id-ID"/>
        </w:rPr>
        <w:lastRenderedPageBreak/>
        <w:t xml:space="preserve">Penghimpunan dana di pasar modal masih dalam tren yang positif, tercatat nilai Penawaran Umum mencapai </w:t>
      </w:r>
      <w:r w:rsidR="00FE107E" w:rsidRPr="00FE107E">
        <w:rPr>
          <w:rFonts w:ascii="Bookman Old Style" w:hAnsi="Bookman Old Style"/>
          <w:sz w:val="22"/>
          <w:szCs w:val="22"/>
          <w:lang w:val="id-ID"/>
        </w:rPr>
        <w:t xml:space="preserve">Rp144,78 triliun dengan Rp8,49 triliun di antaranya merupakan </w:t>
      </w:r>
      <w:r w:rsidR="00FE107E" w:rsidRPr="00D6168E">
        <w:rPr>
          <w:rFonts w:ascii="Bookman Old Style" w:hAnsi="Bookman Old Style"/>
          <w:i/>
          <w:iCs/>
          <w:sz w:val="22"/>
          <w:szCs w:val="22"/>
          <w:lang w:val="id-ID"/>
        </w:rPr>
        <w:t>fundraising</w:t>
      </w:r>
      <w:r w:rsidR="00FE107E" w:rsidRPr="00FE107E">
        <w:rPr>
          <w:rFonts w:ascii="Bookman Old Style" w:hAnsi="Bookman Old Style"/>
          <w:sz w:val="22"/>
          <w:szCs w:val="22"/>
          <w:lang w:val="id-ID"/>
        </w:rPr>
        <w:t xml:space="preserve"> dari 16 emiten baru. Sementara itu, masih terdapat 11 </w:t>
      </w:r>
      <w:r w:rsidR="00FE107E" w:rsidRPr="00D6168E">
        <w:rPr>
          <w:rFonts w:ascii="Bookman Old Style" w:hAnsi="Bookman Old Style"/>
          <w:i/>
          <w:iCs/>
          <w:sz w:val="22"/>
          <w:szCs w:val="22"/>
          <w:lang w:val="id-ID"/>
        </w:rPr>
        <w:t>pipeline</w:t>
      </w:r>
      <w:r w:rsidR="00FE107E" w:rsidRPr="00FE107E">
        <w:rPr>
          <w:rFonts w:ascii="Bookman Old Style" w:hAnsi="Bookman Old Style"/>
          <w:sz w:val="22"/>
          <w:szCs w:val="22"/>
          <w:lang w:val="id-ID"/>
        </w:rPr>
        <w:t xml:space="preserve"> Penawaran Umum dengan nilai indikatif sebesar Rp12,</w:t>
      </w:r>
      <w:r w:rsidR="00726A10">
        <w:rPr>
          <w:rFonts w:ascii="Bookman Old Style" w:hAnsi="Bookman Old Style"/>
          <w:sz w:val="22"/>
          <w:szCs w:val="22"/>
          <w:lang w:val="id-ID"/>
        </w:rPr>
        <w:t>95</w:t>
      </w:r>
      <w:r w:rsidR="00FE107E" w:rsidRPr="00FE107E">
        <w:rPr>
          <w:rFonts w:ascii="Bookman Old Style" w:hAnsi="Bookman Old Style"/>
          <w:sz w:val="22"/>
          <w:szCs w:val="22"/>
          <w:lang w:val="id-ID"/>
        </w:rPr>
        <w:t xml:space="preserve"> triliun</w:t>
      </w:r>
      <w:r w:rsidRPr="007F541B">
        <w:rPr>
          <w:rFonts w:ascii="Bookman Old Style" w:hAnsi="Bookman Old Style"/>
          <w:sz w:val="22"/>
          <w:szCs w:val="22"/>
          <w:lang w:val="id-ID"/>
        </w:rPr>
        <w:t>.</w:t>
      </w:r>
    </w:p>
    <w:p w14:paraId="76E9D97C" w14:textId="3980C4A6" w:rsidR="00DB5475" w:rsidRPr="000E2171" w:rsidRDefault="6799BF2E" w:rsidP="6799BF2E">
      <w:pPr>
        <w:spacing w:after="120" w:line="276" w:lineRule="auto"/>
        <w:jc w:val="both"/>
        <w:rPr>
          <w:rFonts w:ascii="Bookman Old Style" w:hAnsi="Bookman Old Style"/>
          <w:sz w:val="22"/>
          <w:szCs w:val="22"/>
          <w:lang w:val="id-ID"/>
        </w:rPr>
      </w:pPr>
      <w:r w:rsidRPr="000E2171">
        <w:rPr>
          <w:rFonts w:ascii="Bookman Old Style" w:hAnsi="Bookman Old Style"/>
          <w:color w:val="000000" w:themeColor="text1"/>
          <w:sz w:val="22"/>
          <w:szCs w:val="22"/>
          <w:lang w:val="id-ID"/>
        </w:rPr>
        <w:t xml:space="preserve">Untuk penggalangan dana pada </w:t>
      </w:r>
      <w:r w:rsidRPr="000E2171">
        <w:rPr>
          <w:rFonts w:ascii="Bookman Old Style" w:hAnsi="Bookman Old Style"/>
          <w:i/>
          <w:iCs/>
          <w:color w:val="000000" w:themeColor="text1"/>
          <w:sz w:val="22"/>
          <w:szCs w:val="22"/>
          <w:lang w:val="id-ID"/>
        </w:rPr>
        <w:t>Securities Crowdfunding</w:t>
      </w:r>
      <w:r w:rsidRPr="000E2171">
        <w:rPr>
          <w:rFonts w:ascii="Bookman Old Style" w:hAnsi="Bookman Old Style"/>
          <w:color w:val="000000" w:themeColor="text1"/>
          <w:sz w:val="22"/>
          <w:szCs w:val="22"/>
          <w:lang w:val="id-ID"/>
        </w:rPr>
        <w:t xml:space="preserve"> (SCF), sejak pemberlakuan ketentuan SCF hingga 31 Juli 2025, telah terdapat 18 penyelenggara yang telah mendapatkan izin dari OJK dengan 876 penerbitan Efek dari 534 penerbit, 184.504 pemodal, dan total dana SCF yang dihimpun dan teradministrasi di KSEI sebesar Rp1,64 triliun.  </w:t>
      </w:r>
    </w:p>
    <w:p w14:paraId="70AEFFA8" w14:textId="44F7A862" w:rsidR="000F7B38" w:rsidRPr="008412D3" w:rsidRDefault="00DB5475" w:rsidP="000F7B38">
      <w:pPr>
        <w:spacing w:after="120" w:line="276" w:lineRule="auto"/>
        <w:jc w:val="both"/>
        <w:rPr>
          <w:rFonts w:ascii="Bookman Old Style" w:hAnsi="Bookman Old Style"/>
          <w:sz w:val="22"/>
          <w:szCs w:val="22"/>
          <w:lang w:val="id-ID"/>
        </w:rPr>
      </w:pPr>
      <w:r w:rsidRPr="00D6168E">
        <w:rPr>
          <w:rFonts w:ascii="Bookman Old Style" w:hAnsi="Bookman Old Style"/>
          <w:sz w:val="22"/>
          <w:szCs w:val="22"/>
          <w:lang w:val="id-ID"/>
        </w:rPr>
        <w:t xml:space="preserve">Pada pasar derivatif keuangan, sejak 10 Januari hingga </w:t>
      </w:r>
      <w:r w:rsidR="00163463" w:rsidRPr="008412D3">
        <w:rPr>
          <w:rFonts w:ascii="Bookman Old Style" w:hAnsi="Bookman Old Style"/>
          <w:sz w:val="22"/>
          <w:szCs w:val="22"/>
          <w:lang w:val="id-ID"/>
        </w:rPr>
        <w:t>31</w:t>
      </w:r>
      <w:r w:rsidR="00CE2E9B" w:rsidRPr="008412D3">
        <w:rPr>
          <w:rFonts w:ascii="Bookman Old Style" w:hAnsi="Bookman Old Style"/>
          <w:sz w:val="22"/>
          <w:szCs w:val="22"/>
          <w:lang w:val="id-ID"/>
        </w:rPr>
        <w:t xml:space="preserve"> </w:t>
      </w:r>
      <w:r w:rsidRPr="008412D3">
        <w:rPr>
          <w:rFonts w:ascii="Bookman Old Style" w:hAnsi="Bookman Old Style"/>
          <w:sz w:val="22"/>
          <w:szCs w:val="22"/>
          <w:lang w:val="id-ID"/>
        </w:rPr>
        <w:t>Ju</w:t>
      </w:r>
      <w:r w:rsidR="00CE2E9B" w:rsidRPr="008412D3">
        <w:rPr>
          <w:rFonts w:ascii="Bookman Old Style" w:hAnsi="Bookman Old Style"/>
          <w:sz w:val="22"/>
          <w:szCs w:val="22"/>
          <w:lang w:val="id-ID"/>
        </w:rPr>
        <w:t>li</w:t>
      </w:r>
      <w:r w:rsidRPr="008412D3">
        <w:rPr>
          <w:rFonts w:ascii="Bookman Old Style" w:hAnsi="Bookman Old Style"/>
          <w:sz w:val="22"/>
          <w:szCs w:val="22"/>
          <w:lang w:val="id-ID"/>
        </w:rPr>
        <w:t xml:space="preserve"> 2025, tercatat </w:t>
      </w:r>
      <w:r w:rsidR="00AD25BC" w:rsidRPr="008412D3">
        <w:rPr>
          <w:rFonts w:ascii="Bookman Old Style" w:hAnsi="Bookman Old Style"/>
          <w:sz w:val="22"/>
          <w:szCs w:val="22"/>
          <w:lang w:val="id-ID"/>
        </w:rPr>
        <w:t>96</w:t>
      </w:r>
      <w:r w:rsidRPr="008412D3">
        <w:rPr>
          <w:rFonts w:ascii="Bookman Old Style" w:hAnsi="Bookman Old Style"/>
          <w:sz w:val="22"/>
          <w:szCs w:val="22"/>
          <w:lang w:val="id-ID"/>
        </w:rPr>
        <w:t xml:space="preserve"> pelaku dan 19 penyelenggara telah memperoleh </w:t>
      </w:r>
      <w:r w:rsidR="00A65E21" w:rsidRPr="008412D3">
        <w:rPr>
          <w:rFonts w:ascii="Bookman Old Style" w:hAnsi="Bookman Old Style"/>
          <w:sz w:val="22"/>
          <w:szCs w:val="22"/>
          <w:lang w:val="id-ID"/>
        </w:rPr>
        <w:t xml:space="preserve">persetujuan prinsip </w:t>
      </w:r>
      <w:r w:rsidRPr="008412D3">
        <w:rPr>
          <w:rFonts w:ascii="Bookman Old Style" w:hAnsi="Bookman Old Style"/>
          <w:sz w:val="22"/>
          <w:szCs w:val="22"/>
          <w:lang w:val="id-ID"/>
        </w:rPr>
        <w:t xml:space="preserve">OJK. </w:t>
      </w:r>
      <w:r w:rsidR="000F7B38" w:rsidRPr="008412D3">
        <w:rPr>
          <w:rFonts w:ascii="Bookman Old Style" w:hAnsi="Bookman Old Style"/>
          <w:sz w:val="22"/>
          <w:szCs w:val="22"/>
          <w:lang w:val="id-ID"/>
        </w:rPr>
        <w:t>Nilai transaksi di bulan Juli 2025 tercatat sebesar Rp</w:t>
      </w:r>
      <w:r w:rsidR="00F760A5" w:rsidRPr="008412D3">
        <w:rPr>
          <w:rFonts w:ascii="Bookman Old Style" w:hAnsi="Bookman Old Style"/>
          <w:sz w:val="22"/>
          <w:szCs w:val="22"/>
          <w:lang w:val="id-ID"/>
        </w:rPr>
        <w:t>3.191,01</w:t>
      </w:r>
      <w:r w:rsidR="000F7B38" w:rsidRPr="008412D3">
        <w:rPr>
          <w:rFonts w:ascii="Bookman Old Style" w:hAnsi="Bookman Old Style"/>
          <w:sz w:val="22"/>
          <w:szCs w:val="22"/>
          <w:lang w:val="id-ID"/>
        </w:rPr>
        <w:t xml:space="preserve"> triliun, dengan nilai rata-rata harian transaksi sebesar Rp</w:t>
      </w:r>
      <w:r w:rsidR="00F760A5" w:rsidRPr="008412D3">
        <w:rPr>
          <w:rFonts w:ascii="Bookman Old Style" w:hAnsi="Bookman Old Style"/>
          <w:sz w:val="22"/>
          <w:szCs w:val="22"/>
          <w:lang w:val="id-ID"/>
        </w:rPr>
        <w:t>138,74</w:t>
      </w:r>
      <w:r w:rsidR="000F7B38" w:rsidRPr="008412D3">
        <w:rPr>
          <w:rFonts w:ascii="Bookman Old Style" w:hAnsi="Bookman Old Style"/>
          <w:sz w:val="22"/>
          <w:szCs w:val="22"/>
          <w:lang w:val="id-ID"/>
        </w:rPr>
        <w:t xml:space="preserve"> triliun (</w:t>
      </w:r>
      <w:r w:rsidR="000F7B38" w:rsidRPr="008412D3">
        <w:rPr>
          <w:rFonts w:ascii="Bookman Old Style" w:hAnsi="Bookman Old Style"/>
          <w:i/>
          <w:iCs/>
          <w:sz w:val="22"/>
          <w:szCs w:val="22"/>
          <w:lang w:val="id-ID"/>
        </w:rPr>
        <w:t>ytd:</w:t>
      </w:r>
      <w:r w:rsidR="000F7B38" w:rsidRPr="008412D3">
        <w:rPr>
          <w:rFonts w:ascii="Bookman Old Style" w:hAnsi="Bookman Old Style"/>
          <w:sz w:val="22"/>
          <w:szCs w:val="22"/>
          <w:lang w:val="id-ID"/>
        </w:rPr>
        <w:t xml:space="preserve"> Rp</w:t>
      </w:r>
      <w:r w:rsidR="00F760A5" w:rsidRPr="008412D3">
        <w:rPr>
          <w:rFonts w:ascii="Bookman Old Style" w:hAnsi="Bookman Old Style"/>
          <w:sz w:val="22"/>
          <w:szCs w:val="22"/>
          <w:lang w:val="id-ID"/>
        </w:rPr>
        <w:t>29,80</w:t>
      </w:r>
      <w:r w:rsidR="000F7B38" w:rsidRPr="008412D3">
        <w:rPr>
          <w:rFonts w:ascii="Bookman Old Style" w:hAnsi="Bookman Old Style"/>
          <w:sz w:val="22"/>
          <w:szCs w:val="22"/>
          <w:lang w:val="id-ID"/>
        </w:rPr>
        <w:t xml:space="preserve"> triliun per hari). Total volume transaksi derivatif keuangan dengan aset yang mendasari berupa Efek dari 2 Januari hingga </w:t>
      </w:r>
      <w:r w:rsidR="00EE1724" w:rsidRPr="008412D3">
        <w:rPr>
          <w:rFonts w:ascii="Bookman Old Style" w:hAnsi="Bookman Old Style"/>
          <w:sz w:val="22"/>
          <w:szCs w:val="22"/>
          <w:lang w:val="id-ID"/>
        </w:rPr>
        <w:t>31</w:t>
      </w:r>
      <w:r w:rsidR="000F7B38" w:rsidRPr="008412D3">
        <w:rPr>
          <w:rFonts w:ascii="Bookman Old Style" w:hAnsi="Bookman Old Style"/>
          <w:sz w:val="22"/>
          <w:szCs w:val="22"/>
          <w:lang w:val="id-ID"/>
        </w:rPr>
        <w:t xml:space="preserve"> Juli 2025 sebesar </w:t>
      </w:r>
      <w:r w:rsidR="00EE1724" w:rsidRPr="008412D3">
        <w:rPr>
          <w:rFonts w:ascii="Bookman Old Style" w:hAnsi="Bookman Old Style"/>
          <w:sz w:val="22"/>
          <w:szCs w:val="22"/>
          <w:lang w:val="id-ID"/>
        </w:rPr>
        <w:t>655.632</w:t>
      </w:r>
      <w:r w:rsidR="000F7B38" w:rsidRPr="008412D3">
        <w:rPr>
          <w:rFonts w:ascii="Bookman Old Style" w:hAnsi="Bookman Old Style"/>
          <w:sz w:val="22"/>
          <w:szCs w:val="22"/>
          <w:lang w:val="id-ID"/>
        </w:rPr>
        <w:t xml:space="preserve"> lot dan akumulasi nilai sebesar Rp</w:t>
      </w:r>
      <w:r w:rsidR="00EE1724" w:rsidRPr="008412D3">
        <w:rPr>
          <w:rFonts w:ascii="Bookman Old Style" w:hAnsi="Bookman Old Style"/>
          <w:sz w:val="22"/>
          <w:szCs w:val="22"/>
          <w:lang w:val="id-ID"/>
        </w:rPr>
        <w:t>4.500,10</w:t>
      </w:r>
      <w:r w:rsidR="000F7B38" w:rsidRPr="008412D3">
        <w:rPr>
          <w:rFonts w:ascii="Bookman Old Style" w:hAnsi="Bookman Old Style"/>
          <w:sz w:val="22"/>
          <w:szCs w:val="22"/>
          <w:lang w:val="id-ID"/>
        </w:rPr>
        <w:t xml:space="preserve"> triliun.</w:t>
      </w:r>
    </w:p>
    <w:p w14:paraId="0E197B09" w14:textId="52779A96" w:rsidR="00DB5475" w:rsidRDefault="00DB5475" w:rsidP="00DB5475">
      <w:pPr>
        <w:spacing w:after="120" w:line="276" w:lineRule="auto"/>
        <w:jc w:val="both"/>
        <w:rPr>
          <w:rFonts w:ascii="Bookman Old Style" w:hAnsi="Bookman Old Style"/>
          <w:sz w:val="22"/>
          <w:szCs w:val="22"/>
          <w:lang w:val="id-ID"/>
        </w:rPr>
      </w:pPr>
      <w:r w:rsidRPr="00D6168E">
        <w:rPr>
          <w:rFonts w:ascii="Bookman Old Style" w:hAnsi="Bookman Old Style"/>
          <w:sz w:val="22"/>
          <w:szCs w:val="22"/>
          <w:lang w:val="id-ID"/>
        </w:rPr>
        <w:t xml:space="preserve">Sedangkan perkembangan Bursa Karbon, sejak diluncurkan pada 26 September 2023 hingga </w:t>
      </w:r>
      <w:r w:rsidR="00327A72">
        <w:rPr>
          <w:rFonts w:ascii="Bookman Old Style" w:hAnsi="Bookman Old Style"/>
          <w:sz w:val="22"/>
          <w:szCs w:val="22"/>
          <w:lang w:val="id-ID"/>
        </w:rPr>
        <w:t>31</w:t>
      </w:r>
      <w:r w:rsidR="006A02E7" w:rsidRPr="00D6168E">
        <w:rPr>
          <w:rFonts w:ascii="Bookman Old Style" w:hAnsi="Bookman Old Style"/>
          <w:sz w:val="22"/>
          <w:szCs w:val="22"/>
          <w:lang w:val="id-ID"/>
        </w:rPr>
        <w:t xml:space="preserve"> Juli</w:t>
      </w:r>
      <w:r w:rsidRPr="00D6168E">
        <w:rPr>
          <w:rFonts w:ascii="Bookman Old Style" w:hAnsi="Bookman Old Style"/>
          <w:sz w:val="22"/>
          <w:szCs w:val="22"/>
          <w:lang w:val="id-ID"/>
        </w:rPr>
        <w:t xml:space="preserve"> 2025, </w:t>
      </w:r>
      <w:r w:rsidR="005370B3" w:rsidRPr="007D5F24">
        <w:rPr>
          <w:rFonts w:ascii="Bookman Old Style" w:hAnsi="Bookman Old Style"/>
          <w:sz w:val="22"/>
          <w:szCs w:val="22"/>
          <w:lang w:val="id-ID"/>
        </w:rPr>
        <w:t>tercatat 116 pengguna jasa yang mendapatkan izin dengan total volume 1.599.357 tCO2e dan akumulasi nilai Rp77,95 miliar.</w:t>
      </w:r>
      <w:r w:rsidR="005370B3" w:rsidRPr="00182D8E">
        <w:rPr>
          <w:rFonts w:ascii="Bookman Old Style" w:hAnsi="Bookman Old Style"/>
          <w:sz w:val="22"/>
          <w:szCs w:val="22"/>
          <w:lang w:val="id-ID"/>
        </w:rPr>
        <w:t>  </w:t>
      </w:r>
    </w:p>
    <w:p w14:paraId="6554FB77" w14:textId="12106AD5" w:rsidR="00C90542" w:rsidRDefault="00C90542" w:rsidP="00C90542">
      <w:pPr>
        <w:spacing w:after="120" w:line="276" w:lineRule="auto"/>
        <w:jc w:val="both"/>
        <w:rPr>
          <w:rFonts w:ascii="Bookman Old Style" w:hAnsi="Bookman Old Style"/>
          <w:sz w:val="22"/>
          <w:szCs w:val="22"/>
          <w:lang w:val="id-ID"/>
        </w:rPr>
      </w:pPr>
      <w:r w:rsidRPr="000E2171">
        <w:rPr>
          <w:rFonts w:ascii="Bookman Old Style" w:hAnsi="Bookman Old Style"/>
          <w:sz w:val="22"/>
          <w:szCs w:val="22"/>
          <w:lang w:val="id-ID"/>
        </w:rPr>
        <w:t xml:space="preserve">Dalam gelaran </w:t>
      </w:r>
      <w:r w:rsidRPr="000E2171">
        <w:rPr>
          <w:rFonts w:ascii="Bookman Old Style" w:hAnsi="Bookman Old Style"/>
          <w:i/>
          <w:iCs/>
          <w:sz w:val="22"/>
          <w:szCs w:val="22"/>
          <w:lang w:val="id-ID"/>
        </w:rPr>
        <w:t>ASEAN Corporate Governance Conference &amp; Awards</w:t>
      </w:r>
      <w:r w:rsidRPr="000E2171">
        <w:rPr>
          <w:rFonts w:ascii="Bookman Old Style" w:hAnsi="Bookman Old Style"/>
          <w:sz w:val="22"/>
          <w:szCs w:val="22"/>
          <w:lang w:val="id-ID"/>
        </w:rPr>
        <w:t xml:space="preserve"> 2025 di Malaysia bulan Juli kemarin, Indonesia mencatat kemajuan signifikan dalam </w:t>
      </w:r>
      <w:r w:rsidRPr="000E2171">
        <w:rPr>
          <w:rFonts w:ascii="Bookman Old Style" w:hAnsi="Bookman Old Style"/>
          <w:i/>
          <w:iCs/>
          <w:sz w:val="22"/>
          <w:szCs w:val="22"/>
          <w:lang w:val="id-ID"/>
        </w:rPr>
        <w:t>ASEAN Corporate Governance Scorecard</w:t>
      </w:r>
      <w:r w:rsidRPr="000E2171">
        <w:rPr>
          <w:rFonts w:ascii="Bookman Old Style" w:hAnsi="Bookman Old Style"/>
          <w:sz w:val="22"/>
          <w:szCs w:val="22"/>
          <w:lang w:val="id-ID"/>
        </w:rPr>
        <w:t xml:space="preserve"> (ACGS), dengan kenaikan skor rata-rata nasional sebesar 9</w:t>
      </w:r>
      <w:r w:rsidR="00F340D5" w:rsidRPr="000E2171">
        <w:rPr>
          <w:rFonts w:ascii="Bookman Old Style" w:hAnsi="Bookman Old Style"/>
          <w:sz w:val="22"/>
          <w:szCs w:val="22"/>
          <w:lang w:val="id-ID"/>
        </w:rPr>
        <w:t xml:space="preserve"> persen</w:t>
      </w:r>
      <w:r w:rsidRPr="000E2171">
        <w:rPr>
          <w:rFonts w:ascii="Bookman Old Style" w:hAnsi="Bookman Old Style"/>
          <w:sz w:val="22"/>
          <w:szCs w:val="22"/>
          <w:lang w:val="id-ID"/>
        </w:rPr>
        <w:t xml:space="preserve">, tertinggi di kawasan. Empat Emiten Indonesia masuk dalam Top 50 ASEAN, </w:t>
      </w:r>
      <w:r w:rsidR="42A0030D" w:rsidRPr="000E2171">
        <w:rPr>
          <w:rFonts w:ascii="Bookman Old Style" w:hAnsi="Bookman Old Style"/>
          <w:sz w:val="22"/>
          <w:szCs w:val="22"/>
          <w:lang w:val="id-ID"/>
        </w:rPr>
        <w:t>dengan</w:t>
      </w:r>
      <w:r w:rsidRPr="000E2171">
        <w:rPr>
          <w:rFonts w:ascii="Bookman Old Style" w:hAnsi="Bookman Old Style"/>
          <w:sz w:val="22"/>
          <w:szCs w:val="22"/>
          <w:lang w:val="id-ID"/>
        </w:rPr>
        <w:t xml:space="preserve"> 2 Emiten Perbankan di antaranya menempati posisi 10 besar terbaik, menunjukkan reputasi tata kelola Emiten Indonesia yang semakin kuat. Selain itu, jumlah perusahaan Indonesia dalam </w:t>
      </w:r>
      <w:r w:rsidRPr="000E2171">
        <w:rPr>
          <w:rFonts w:ascii="Bookman Old Style" w:hAnsi="Bookman Old Style"/>
          <w:i/>
          <w:iCs/>
          <w:sz w:val="22"/>
          <w:szCs w:val="22"/>
          <w:lang w:val="id-ID"/>
        </w:rPr>
        <w:t>ASEAN Asset Class</w:t>
      </w:r>
      <w:r w:rsidRPr="000E2171">
        <w:rPr>
          <w:rFonts w:ascii="Bookman Old Style" w:hAnsi="Bookman Old Style"/>
          <w:sz w:val="22"/>
          <w:szCs w:val="22"/>
          <w:lang w:val="id-ID"/>
        </w:rPr>
        <w:t xml:space="preserve"> meningkat dari 9 menjadi 23, mencerminkan dampak konkret dari berbagai inisiatif pembinaan dan pengawasan yang secara konsisten dilakukan oleh OJK untuk mendorong transparansi, akuntabilitas, dan keberlanjutan di pasar modal.</w:t>
      </w:r>
    </w:p>
    <w:p w14:paraId="058752C0" w14:textId="01AEBB10" w:rsidR="00BD7140" w:rsidRPr="00F96C6E" w:rsidRDefault="00BD7140" w:rsidP="00BD7140">
      <w:pPr>
        <w:spacing w:after="0" w:line="276" w:lineRule="auto"/>
        <w:jc w:val="both"/>
        <w:rPr>
          <w:rFonts w:ascii="Bookman Old Style" w:hAnsi="Bookman Old Style"/>
          <w:sz w:val="22"/>
          <w:szCs w:val="22"/>
          <w:lang w:val="id-ID"/>
        </w:rPr>
      </w:pPr>
      <w:bookmarkStart w:id="0" w:name="_Hlk205070733"/>
      <w:r w:rsidRPr="007D5F24">
        <w:rPr>
          <w:rFonts w:ascii="Bookman Old Style" w:hAnsi="Bookman Old Style"/>
          <w:sz w:val="22"/>
          <w:szCs w:val="22"/>
          <w:lang w:val="id-ID"/>
        </w:rPr>
        <w:t>Pada periode 20 Maret</w:t>
      </w:r>
      <w:r w:rsidR="001000AA">
        <w:rPr>
          <w:rFonts w:ascii="Bookman Old Style" w:hAnsi="Bookman Old Style"/>
          <w:sz w:val="22"/>
          <w:szCs w:val="22"/>
          <w:lang w:val="id-ID"/>
        </w:rPr>
        <w:t xml:space="preserve"> 2025</w:t>
      </w:r>
      <w:r w:rsidRPr="007D5F24">
        <w:rPr>
          <w:rFonts w:ascii="Bookman Old Style" w:hAnsi="Bookman Old Style"/>
          <w:sz w:val="22"/>
          <w:szCs w:val="22"/>
          <w:lang w:val="id-ID"/>
        </w:rPr>
        <w:t xml:space="preserve"> sampai dengan 31 Juli 2025, terdapat 45 Emiten yang telah menyampaikan keterbukaan informasi untuk melakukan </w:t>
      </w:r>
      <w:r w:rsidRPr="00D6168E">
        <w:rPr>
          <w:rFonts w:ascii="Bookman Old Style" w:hAnsi="Bookman Old Style"/>
          <w:i/>
          <w:iCs/>
          <w:sz w:val="22"/>
          <w:szCs w:val="22"/>
          <w:lang w:val="id-ID"/>
        </w:rPr>
        <w:t>buyback</w:t>
      </w:r>
      <w:r w:rsidRPr="007D5F24">
        <w:rPr>
          <w:rFonts w:ascii="Bookman Old Style" w:hAnsi="Bookman Old Style"/>
          <w:sz w:val="22"/>
          <w:szCs w:val="22"/>
          <w:lang w:val="id-ID"/>
        </w:rPr>
        <w:t xml:space="preserve"> tanpa RUPS, dengan alokasi dana </w:t>
      </w:r>
      <w:r w:rsidRPr="00D6168E">
        <w:rPr>
          <w:rFonts w:ascii="Bookman Old Style" w:hAnsi="Bookman Old Style"/>
          <w:i/>
          <w:iCs/>
          <w:sz w:val="22"/>
          <w:szCs w:val="22"/>
          <w:lang w:val="id-ID"/>
        </w:rPr>
        <w:t xml:space="preserve">buyback </w:t>
      </w:r>
      <w:r w:rsidRPr="007D5F24">
        <w:rPr>
          <w:rFonts w:ascii="Bookman Old Style" w:hAnsi="Bookman Old Style"/>
          <w:sz w:val="22"/>
          <w:szCs w:val="22"/>
          <w:lang w:val="id-ID"/>
        </w:rPr>
        <w:t>sebesar Rp26,52 triliun. Dari 45 Emiten tersebut</w:t>
      </w:r>
      <w:r w:rsidR="00B660D6">
        <w:rPr>
          <w:rFonts w:ascii="Bookman Old Style" w:hAnsi="Bookman Old Style"/>
          <w:sz w:val="22"/>
          <w:szCs w:val="22"/>
          <w:lang w:val="id-ID"/>
        </w:rPr>
        <w:t>,</w:t>
      </w:r>
      <w:r w:rsidRPr="007D5F24">
        <w:rPr>
          <w:rFonts w:ascii="Bookman Old Style" w:hAnsi="Bookman Old Style"/>
          <w:sz w:val="22"/>
          <w:szCs w:val="22"/>
          <w:lang w:val="id-ID"/>
        </w:rPr>
        <w:t xml:space="preserve"> terdapat 36 Emiten yang telah melakukan pelaksanaan </w:t>
      </w:r>
      <w:r w:rsidRPr="007D5F24">
        <w:rPr>
          <w:rFonts w:ascii="Bookman Old Style" w:hAnsi="Bookman Old Style"/>
          <w:i/>
          <w:iCs/>
          <w:sz w:val="22"/>
          <w:szCs w:val="22"/>
          <w:lang w:val="id-ID"/>
        </w:rPr>
        <w:t>buyback</w:t>
      </w:r>
      <w:r w:rsidRPr="007D5F24">
        <w:rPr>
          <w:rFonts w:ascii="Bookman Old Style" w:hAnsi="Bookman Old Style"/>
          <w:sz w:val="22"/>
          <w:szCs w:val="22"/>
          <w:lang w:val="id-ID"/>
        </w:rPr>
        <w:t xml:space="preserve"> dengan nilai realisasi sebesar Rp3,7 triliun atau sebesar 13,8 persen. Per akhir Juli 2025, dari 45 Emiten tersebut, 4 di</w:t>
      </w:r>
      <w:r w:rsidR="000E2171">
        <w:rPr>
          <w:rFonts w:ascii="Bookman Old Style" w:hAnsi="Bookman Old Style"/>
          <w:sz w:val="22"/>
          <w:szCs w:val="22"/>
          <w:lang w:val="id-ID"/>
        </w:rPr>
        <w:t xml:space="preserve"> </w:t>
      </w:r>
      <w:r w:rsidRPr="007D5F24">
        <w:rPr>
          <w:rFonts w:ascii="Bookman Old Style" w:hAnsi="Bookman Old Style"/>
          <w:sz w:val="22"/>
          <w:szCs w:val="22"/>
          <w:lang w:val="id-ID"/>
        </w:rPr>
        <w:t xml:space="preserve">antaranya telah memperpanjang periode </w:t>
      </w:r>
      <w:r w:rsidRPr="007D5F24">
        <w:rPr>
          <w:rFonts w:ascii="Bookman Old Style" w:hAnsi="Bookman Old Style"/>
          <w:i/>
          <w:iCs/>
          <w:sz w:val="22"/>
          <w:szCs w:val="22"/>
          <w:lang w:val="id-ID"/>
        </w:rPr>
        <w:t>buyback-</w:t>
      </w:r>
      <w:r w:rsidRPr="007D5F24">
        <w:rPr>
          <w:rFonts w:ascii="Bookman Old Style" w:hAnsi="Bookman Old Style"/>
          <w:sz w:val="22"/>
          <w:szCs w:val="22"/>
          <w:lang w:val="id-ID"/>
        </w:rPr>
        <w:t>nya dan 30 di</w:t>
      </w:r>
      <w:r w:rsidR="000E2171">
        <w:rPr>
          <w:rFonts w:ascii="Bookman Old Style" w:hAnsi="Bookman Old Style"/>
          <w:sz w:val="22"/>
          <w:szCs w:val="22"/>
          <w:lang w:val="id-ID"/>
        </w:rPr>
        <w:t xml:space="preserve"> </w:t>
      </w:r>
      <w:r w:rsidRPr="007D5F24">
        <w:rPr>
          <w:rFonts w:ascii="Bookman Old Style" w:hAnsi="Bookman Old Style"/>
          <w:sz w:val="22"/>
          <w:szCs w:val="22"/>
          <w:lang w:val="id-ID"/>
        </w:rPr>
        <w:t>antaranya, telah selesai periode pelaksanaannya.</w:t>
      </w:r>
    </w:p>
    <w:bookmarkEnd w:id="0"/>
    <w:p w14:paraId="6E73B21F" w14:textId="4FE4B1C0" w:rsidR="0014608F" w:rsidRPr="007F541B" w:rsidRDefault="00DB5475" w:rsidP="00B00AA2">
      <w:pPr>
        <w:spacing w:before="120" w:line="276" w:lineRule="auto"/>
        <w:jc w:val="both"/>
        <w:rPr>
          <w:rFonts w:ascii="Bookman Old Style" w:hAnsi="Bookman Old Style"/>
          <w:sz w:val="22"/>
          <w:szCs w:val="22"/>
          <w:lang w:val="id-ID"/>
        </w:rPr>
      </w:pPr>
      <w:r w:rsidRPr="007F541B">
        <w:rPr>
          <w:rFonts w:ascii="Bookman Old Style" w:hAnsi="Bookman Old Style"/>
          <w:sz w:val="22"/>
          <w:szCs w:val="22"/>
          <w:lang w:val="id-ID"/>
        </w:rPr>
        <w:t xml:space="preserve">Dalam rangka penegakan ketentuan di bidang Pasar Modal, Derivatif Keuangan dan Bursa Karbon, </w:t>
      </w:r>
      <w:r w:rsidR="00B00AA2" w:rsidRPr="007F541B">
        <w:rPr>
          <w:rFonts w:ascii="Bookman Old Style" w:hAnsi="Bookman Old Style"/>
          <w:sz w:val="22"/>
          <w:szCs w:val="22"/>
          <w:lang w:val="id-ID"/>
        </w:rPr>
        <w:t>pada bulan Juli 2025, OJK telah mengenakan Sanksi Administratif berupa Denda atas pelanggaran ketentuan perundang-undangan di Bidang Pasar Modal Keuangan Derivatif dan Bursa Karbon sebesar Rp8.627.000.000,</w:t>
      </w:r>
      <w:r w:rsidR="0050045B">
        <w:rPr>
          <w:rFonts w:ascii="Bookman Old Style" w:hAnsi="Bookman Old Style"/>
          <w:sz w:val="22"/>
          <w:szCs w:val="22"/>
          <w:lang w:val="id-ID"/>
        </w:rPr>
        <w:t>00</w:t>
      </w:r>
      <w:r w:rsidR="00B00AA2" w:rsidRPr="007F541B">
        <w:rPr>
          <w:rFonts w:ascii="Bookman Old Style" w:hAnsi="Bookman Old Style"/>
          <w:sz w:val="22"/>
          <w:szCs w:val="22"/>
          <w:lang w:val="id-ID"/>
        </w:rPr>
        <w:t xml:space="preserve"> kepada 19 Pihak, 6  Peringatan Tertulis, 1 Perintah Tertulis, dan Sanksi Administratif berupa Pencabutan Izin Usaha Perusahaan Efek sebagai Penjamin Emisi Efek dan Perantara Pedagang Efek kepada PT Pratama Capital Sekuritas dan Sanksi Administratif berupa Pencabutan Izin Usaha Perusahaan Efek sebagai Penjamin Emisi Efek kepada PT Masindo Artha Sekuritas. </w:t>
      </w:r>
    </w:p>
    <w:p w14:paraId="0803C767" w14:textId="77777777" w:rsidR="00080536" w:rsidRDefault="00B00AA2" w:rsidP="00D6168E">
      <w:pPr>
        <w:spacing w:after="0" w:line="276" w:lineRule="auto"/>
        <w:jc w:val="both"/>
        <w:rPr>
          <w:rFonts w:ascii="Bookman Old Style" w:hAnsi="Bookman Old Style"/>
          <w:sz w:val="22"/>
          <w:szCs w:val="22"/>
          <w:lang w:val="id-ID"/>
        </w:rPr>
      </w:pPr>
      <w:r w:rsidRPr="007F541B">
        <w:rPr>
          <w:rFonts w:ascii="Bookman Old Style" w:hAnsi="Bookman Old Style"/>
          <w:sz w:val="22"/>
          <w:szCs w:val="22"/>
          <w:lang w:val="id-ID"/>
        </w:rPr>
        <w:lastRenderedPageBreak/>
        <w:t>Selama</w:t>
      </w:r>
      <w:r w:rsidR="00DB5475" w:rsidRPr="007F541B">
        <w:rPr>
          <w:rFonts w:ascii="Bookman Old Style" w:hAnsi="Bookman Old Style"/>
          <w:sz w:val="22"/>
          <w:szCs w:val="22"/>
          <w:lang w:val="id-ID"/>
        </w:rPr>
        <w:t xml:space="preserve"> tahun 2025, OJK telah mengenakan Sanksi Administratif atas pemeriksaan kasus di Pasar Modal yang terdiri dari</w:t>
      </w:r>
      <w:r w:rsidR="00475131">
        <w:rPr>
          <w:rFonts w:ascii="Bookman Old Style" w:hAnsi="Bookman Old Style"/>
          <w:sz w:val="22"/>
          <w:szCs w:val="22"/>
          <w:lang w:val="id-ID"/>
        </w:rPr>
        <w:t>:</w:t>
      </w:r>
    </w:p>
    <w:p w14:paraId="67CA7A58" w14:textId="36FEDACF" w:rsidR="00080536" w:rsidRDefault="00DB5475" w:rsidP="00D6168E">
      <w:pPr>
        <w:pStyle w:val="ListParagraph"/>
        <w:numPr>
          <w:ilvl w:val="0"/>
          <w:numId w:val="44"/>
        </w:numPr>
        <w:spacing w:after="0" w:line="276" w:lineRule="auto"/>
        <w:ind w:left="426" w:hanging="426"/>
        <w:contextualSpacing w:val="0"/>
        <w:jc w:val="both"/>
        <w:rPr>
          <w:rFonts w:ascii="Bookman Old Style" w:hAnsi="Bookman Old Style"/>
          <w:sz w:val="22"/>
          <w:szCs w:val="22"/>
          <w:lang w:val="id-ID"/>
        </w:rPr>
      </w:pPr>
      <w:r w:rsidRPr="003F6828">
        <w:rPr>
          <w:rFonts w:ascii="Bookman Old Style" w:hAnsi="Bookman Old Style"/>
          <w:sz w:val="22"/>
          <w:szCs w:val="22"/>
          <w:lang w:val="id-ID"/>
        </w:rPr>
        <w:t xml:space="preserve">Sanksi Administratif berupa Denda sebesar </w:t>
      </w:r>
      <w:r w:rsidR="00B00AA2" w:rsidRPr="003F6828">
        <w:rPr>
          <w:rFonts w:ascii="Bookman Old Style" w:hAnsi="Bookman Old Style"/>
          <w:sz w:val="22"/>
          <w:szCs w:val="22"/>
          <w:lang w:val="id-ID"/>
        </w:rPr>
        <w:t>Rp19.407</w:t>
      </w:r>
      <w:r w:rsidRPr="003F6828">
        <w:rPr>
          <w:rFonts w:ascii="Bookman Old Style" w:hAnsi="Bookman Old Style"/>
          <w:sz w:val="22"/>
          <w:szCs w:val="22"/>
          <w:lang w:val="id-ID"/>
        </w:rPr>
        <w:t xml:space="preserve">.000.000,00 </w:t>
      </w:r>
      <w:r w:rsidR="00B00AA2" w:rsidRPr="003F6828">
        <w:rPr>
          <w:rFonts w:ascii="Bookman Old Style" w:hAnsi="Bookman Old Style"/>
          <w:sz w:val="22"/>
          <w:szCs w:val="22"/>
          <w:lang w:val="id-ID"/>
        </w:rPr>
        <w:t xml:space="preserve">kepada 33 </w:t>
      </w:r>
      <w:r w:rsidRPr="003F6828">
        <w:rPr>
          <w:rFonts w:ascii="Bookman Old Style" w:hAnsi="Bookman Old Style"/>
          <w:sz w:val="22"/>
          <w:szCs w:val="22"/>
          <w:lang w:val="id-ID"/>
        </w:rPr>
        <w:t>Pihak</w:t>
      </w:r>
      <w:r w:rsidR="00C050E6">
        <w:rPr>
          <w:rFonts w:ascii="Bookman Old Style" w:hAnsi="Bookman Old Style"/>
          <w:sz w:val="22"/>
          <w:szCs w:val="22"/>
          <w:lang w:val="id-ID"/>
        </w:rPr>
        <w:t>,</w:t>
      </w:r>
    </w:p>
    <w:p w14:paraId="7A638801" w14:textId="6A1D0892" w:rsidR="00080536" w:rsidRDefault="00DB5475" w:rsidP="00D6168E">
      <w:pPr>
        <w:pStyle w:val="ListParagraph"/>
        <w:numPr>
          <w:ilvl w:val="0"/>
          <w:numId w:val="44"/>
        </w:numPr>
        <w:spacing w:after="0" w:line="276" w:lineRule="auto"/>
        <w:ind w:left="426" w:hanging="426"/>
        <w:contextualSpacing w:val="0"/>
        <w:jc w:val="both"/>
        <w:rPr>
          <w:rFonts w:ascii="Bookman Old Style" w:hAnsi="Bookman Old Style"/>
          <w:sz w:val="22"/>
          <w:szCs w:val="22"/>
          <w:lang w:val="id-ID"/>
        </w:rPr>
      </w:pPr>
      <w:r w:rsidRPr="003F6828">
        <w:rPr>
          <w:rFonts w:ascii="Bookman Old Style" w:hAnsi="Bookman Old Style"/>
          <w:sz w:val="22"/>
          <w:szCs w:val="22"/>
          <w:lang w:val="id-ID"/>
        </w:rPr>
        <w:t xml:space="preserve">Sanksi Administratif berupa Pencabutan Izin Perseorangan kepada 1 </w:t>
      </w:r>
      <w:r w:rsidR="00B00AA2" w:rsidRPr="003F6828">
        <w:rPr>
          <w:rFonts w:ascii="Bookman Old Style" w:hAnsi="Bookman Old Style"/>
          <w:sz w:val="22"/>
          <w:szCs w:val="22"/>
          <w:lang w:val="id-ID"/>
        </w:rPr>
        <w:t xml:space="preserve"> </w:t>
      </w:r>
      <w:r w:rsidRPr="003F6828">
        <w:rPr>
          <w:rFonts w:ascii="Bookman Old Style" w:hAnsi="Bookman Old Style"/>
          <w:sz w:val="22"/>
          <w:szCs w:val="22"/>
          <w:lang w:val="id-ID"/>
        </w:rPr>
        <w:t xml:space="preserve">Pihak, </w:t>
      </w:r>
    </w:p>
    <w:p w14:paraId="6F6FDC53" w14:textId="76DEACEA" w:rsidR="00080536" w:rsidRDefault="00B00AA2" w:rsidP="00D6168E">
      <w:pPr>
        <w:pStyle w:val="ListParagraph"/>
        <w:numPr>
          <w:ilvl w:val="0"/>
          <w:numId w:val="44"/>
        </w:numPr>
        <w:spacing w:after="0" w:line="276" w:lineRule="auto"/>
        <w:ind w:left="426" w:hanging="426"/>
        <w:contextualSpacing w:val="0"/>
        <w:jc w:val="both"/>
        <w:rPr>
          <w:rFonts w:ascii="Bookman Old Style" w:hAnsi="Bookman Old Style"/>
          <w:sz w:val="22"/>
          <w:szCs w:val="22"/>
          <w:lang w:val="id-ID"/>
        </w:rPr>
      </w:pPr>
      <w:r w:rsidRPr="003F6828">
        <w:rPr>
          <w:rFonts w:ascii="Bookman Old Style" w:hAnsi="Bookman Old Style"/>
          <w:sz w:val="22"/>
          <w:szCs w:val="22"/>
          <w:lang w:val="id-ID"/>
        </w:rPr>
        <w:t xml:space="preserve">Sanksi Administratif berupa </w:t>
      </w:r>
      <w:r w:rsidR="00DB5475" w:rsidRPr="003F6828">
        <w:rPr>
          <w:rFonts w:ascii="Bookman Old Style" w:hAnsi="Bookman Old Style"/>
          <w:sz w:val="22"/>
          <w:szCs w:val="22"/>
          <w:lang w:val="id-ID"/>
        </w:rPr>
        <w:t xml:space="preserve">Pencabutan Izin Usaha Perusahaan Efek </w:t>
      </w:r>
      <w:r w:rsidRPr="003F6828">
        <w:rPr>
          <w:rFonts w:ascii="Bookman Old Style" w:hAnsi="Bookman Old Style"/>
          <w:sz w:val="22"/>
          <w:szCs w:val="22"/>
          <w:lang w:val="id-ID"/>
        </w:rPr>
        <w:t xml:space="preserve">sebagai Penjamin Emisi Efek dan Perantara Pedagang Efek </w:t>
      </w:r>
      <w:r w:rsidR="00DB5475" w:rsidRPr="003F6828">
        <w:rPr>
          <w:rFonts w:ascii="Bookman Old Style" w:hAnsi="Bookman Old Style"/>
          <w:sz w:val="22"/>
          <w:szCs w:val="22"/>
          <w:lang w:val="id-ID"/>
        </w:rPr>
        <w:t xml:space="preserve">kepada </w:t>
      </w:r>
      <w:r w:rsidRPr="003F6828">
        <w:rPr>
          <w:rFonts w:ascii="Bookman Old Style" w:hAnsi="Bookman Old Style"/>
          <w:sz w:val="22"/>
          <w:szCs w:val="22"/>
          <w:lang w:val="id-ID"/>
        </w:rPr>
        <w:t xml:space="preserve">4 </w:t>
      </w:r>
      <w:r w:rsidR="00DB5475" w:rsidRPr="003F6828">
        <w:rPr>
          <w:rFonts w:ascii="Bookman Old Style" w:hAnsi="Bookman Old Style"/>
          <w:sz w:val="22"/>
          <w:szCs w:val="22"/>
          <w:lang w:val="id-ID"/>
        </w:rPr>
        <w:t xml:space="preserve"> Perusahaan</w:t>
      </w:r>
      <w:r w:rsidRPr="003F6828">
        <w:rPr>
          <w:rFonts w:ascii="Bookman Old Style" w:hAnsi="Bookman Old Style"/>
          <w:sz w:val="22"/>
          <w:szCs w:val="22"/>
          <w:lang w:val="id-ID"/>
        </w:rPr>
        <w:t xml:space="preserve"> Efek</w:t>
      </w:r>
      <w:r w:rsidR="00DB5475" w:rsidRPr="003F6828">
        <w:rPr>
          <w:rFonts w:ascii="Bookman Old Style" w:hAnsi="Bookman Old Style"/>
          <w:sz w:val="22"/>
          <w:szCs w:val="22"/>
          <w:lang w:val="id-ID"/>
        </w:rPr>
        <w:t xml:space="preserve">, dan </w:t>
      </w:r>
    </w:p>
    <w:p w14:paraId="7FF12913" w14:textId="1D2B2D2B" w:rsidR="00BD5F5A" w:rsidRDefault="00DB5475" w:rsidP="00D6168E">
      <w:pPr>
        <w:pStyle w:val="ListParagraph"/>
        <w:numPr>
          <w:ilvl w:val="0"/>
          <w:numId w:val="44"/>
        </w:numPr>
        <w:spacing w:after="0" w:line="276" w:lineRule="auto"/>
        <w:ind w:left="426" w:hanging="426"/>
        <w:contextualSpacing w:val="0"/>
        <w:jc w:val="both"/>
        <w:rPr>
          <w:rFonts w:ascii="Bookman Old Style" w:hAnsi="Bookman Old Style"/>
          <w:sz w:val="22"/>
          <w:szCs w:val="22"/>
          <w:lang w:val="id-ID"/>
        </w:rPr>
      </w:pPr>
      <w:r w:rsidRPr="003F6828">
        <w:rPr>
          <w:rFonts w:ascii="Bookman Old Style" w:hAnsi="Bookman Old Style"/>
          <w:sz w:val="22"/>
          <w:szCs w:val="22"/>
          <w:lang w:val="id-ID"/>
        </w:rPr>
        <w:t xml:space="preserve">Peringatan Tertulis kepada </w:t>
      </w:r>
      <w:r w:rsidR="00B00AA2" w:rsidRPr="003F6828">
        <w:rPr>
          <w:rFonts w:ascii="Bookman Old Style" w:hAnsi="Bookman Old Style"/>
          <w:sz w:val="22"/>
          <w:szCs w:val="22"/>
          <w:lang w:val="id-ID"/>
        </w:rPr>
        <w:t xml:space="preserve">14 </w:t>
      </w:r>
      <w:r w:rsidRPr="003F6828">
        <w:rPr>
          <w:rFonts w:ascii="Bookman Old Style" w:hAnsi="Bookman Old Style"/>
          <w:sz w:val="22"/>
          <w:szCs w:val="22"/>
          <w:lang w:val="id-ID"/>
        </w:rPr>
        <w:t xml:space="preserve">Pihak serta </w:t>
      </w:r>
      <w:r w:rsidR="00B00AA2" w:rsidRPr="003F6828">
        <w:rPr>
          <w:rFonts w:ascii="Bookman Old Style" w:hAnsi="Bookman Old Style"/>
          <w:sz w:val="22"/>
          <w:szCs w:val="22"/>
          <w:lang w:val="id-ID"/>
        </w:rPr>
        <w:t xml:space="preserve">1  Perintah Tertulis. </w:t>
      </w:r>
    </w:p>
    <w:p w14:paraId="2EADDF99" w14:textId="295654D7" w:rsidR="00DB5475" w:rsidRDefault="00B00AA2" w:rsidP="00A164C4">
      <w:pPr>
        <w:spacing w:before="120" w:after="0" w:line="276" w:lineRule="auto"/>
        <w:jc w:val="both"/>
        <w:rPr>
          <w:rFonts w:ascii="Bookman Old Style" w:hAnsi="Bookman Old Style"/>
          <w:sz w:val="22"/>
          <w:szCs w:val="22"/>
          <w:lang w:val="id-ID"/>
        </w:rPr>
      </w:pPr>
      <w:r w:rsidRPr="003F6828">
        <w:rPr>
          <w:rFonts w:ascii="Bookman Old Style" w:hAnsi="Bookman Old Style"/>
          <w:sz w:val="22"/>
          <w:szCs w:val="22"/>
          <w:lang w:val="id-ID"/>
        </w:rPr>
        <w:t xml:space="preserve">Selanjutnya, OJK </w:t>
      </w:r>
      <w:r w:rsidR="00DB5475" w:rsidRPr="003F6828">
        <w:rPr>
          <w:rFonts w:ascii="Bookman Old Style" w:hAnsi="Bookman Old Style"/>
          <w:sz w:val="22"/>
          <w:szCs w:val="22"/>
          <w:lang w:val="id-ID"/>
        </w:rPr>
        <w:t xml:space="preserve">mengenakan Sanksi Administratif berupa Denda sebesar </w:t>
      </w:r>
      <w:r w:rsidRPr="003F6828">
        <w:rPr>
          <w:rFonts w:ascii="Bookman Old Style" w:hAnsi="Bookman Old Style"/>
          <w:sz w:val="22"/>
          <w:szCs w:val="22"/>
          <w:lang w:val="id-ID"/>
        </w:rPr>
        <w:t>Rp19.121.220</w:t>
      </w:r>
      <w:r w:rsidR="00DB5475" w:rsidRPr="003F6828">
        <w:rPr>
          <w:rFonts w:ascii="Bookman Old Style" w:hAnsi="Bookman Old Style"/>
          <w:sz w:val="22"/>
          <w:szCs w:val="22"/>
          <w:lang w:val="id-ID"/>
        </w:rPr>
        <w:t xml:space="preserve">.000,00 </w:t>
      </w:r>
      <w:r w:rsidRPr="003F6828">
        <w:rPr>
          <w:rFonts w:ascii="Bookman Old Style" w:hAnsi="Bookman Old Style"/>
          <w:sz w:val="22"/>
          <w:szCs w:val="22"/>
          <w:lang w:val="id-ID"/>
        </w:rPr>
        <w:t xml:space="preserve">kepada 304 </w:t>
      </w:r>
      <w:r w:rsidR="00DB5475" w:rsidRPr="003F6828">
        <w:rPr>
          <w:rFonts w:ascii="Bookman Old Style" w:hAnsi="Bookman Old Style"/>
          <w:sz w:val="22"/>
          <w:szCs w:val="22"/>
          <w:lang w:val="id-ID"/>
        </w:rPr>
        <w:t xml:space="preserve"> Pelaku Usaha Jasa Keuangan di Pasar Modal dan </w:t>
      </w:r>
      <w:r w:rsidRPr="003F6828">
        <w:rPr>
          <w:rFonts w:ascii="Bookman Old Style" w:hAnsi="Bookman Old Style"/>
          <w:sz w:val="22"/>
          <w:szCs w:val="22"/>
          <w:lang w:val="id-ID"/>
        </w:rPr>
        <w:t xml:space="preserve">90 </w:t>
      </w:r>
      <w:r w:rsidR="00DB5475" w:rsidRPr="003F6828">
        <w:rPr>
          <w:rFonts w:ascii="Bookman Old Style" w:hAnsi="Bookman Old Style"/>
          <w:sz w:val="22"/>
          <w:szCs w:val="22"/>
          <w:lang w:val="id-ID"/>
        </w:rPr>
        <w:t xml:space="preserve"> Peringatan Tertulis atas keterlambatan penyampaian laporan serta mengenakan Sanksi Administratif berupa Denda sebesar Rp100.000.000,00 </w:t>
      </w:r>
      <w:r w:rsidRPr="003F6828">
        <w:rPr>
          <w:rFonts w:ascii="Bookman Old Style" w:hAnsi="Bookman Old Style"/>
          <w:sz w:val="22"/>
          <w:szCs w:val="22"/>
          <w:lang w:val="id-ID"/>
        </w:rPr>
        <w:t xml:space="preserve"> dan 34 </w:t>
      </w:r>
      <w:r w:rsidR="00DB5475" w:rsidRPr="003F6828">
        <w:rPr>
          <w:rFonts w:ascii="Bookman Old Style" w:hAnsi="Bookman Old Style"/>
          <w:sz w:val="22"/>
          <w:szCs w:val="22"/>
          <w:lang w:val="id-ID"/>
        </w:rPr>
        <w:t xml:space="preserve"> Sanksi Administratif berupa Peringatan Tertulis atas selain Keterlambatan Non Kasus.</w:t>
      </w:r>
    </w:p>
    <w:p w14:paraId="3168D16E" w14:textId="77777777" w:rsidR="00F9390E" w:rsidRPr="003F6828" w:rsidRDefault="00F9390E" w:rsidP="00D6168E">
      <w:pPr>
        <w:spacing w:before="120" w:after="0" w:line="276" w:lineRule="auto"/>
        <w:jc w:val="both"/>
        <w:rPr>
          <w:rFonts w:ascii="Bookman Old Style" w:hAnsi="Bookman Old Style"/>
          <w:sz w:val="22"/>
          <w:szCs w:val="22"/>
          <w:lang w:val="id-ID"/>
        </w:rPr>
      </w:pPr>
    </w:p>
    <w:p w14:paraId="5F67CB65" w14:textId="77777777" w:rsidR="00DB5475" w:rsidRPr="007F541B" w:rsidRDefault="00DB5475" w:rsidP="00D6168E">
      <w:pPr>
        <w:spacing w:before="120" w:line="276" w:lineRule="auto"/>
        <w:rPr>
          <w:rFonts w:ascii="Bookman Old Style" w:hAnsi="Bookman Old Style"/>
          <w:sz w:val="22"/>
          <w:szCs w:val="22"/>
          <w:lang w:val="id-ID"/>
        </w:rPr>
      </w:pPr>
      <w:r w:rsidRPr="007F541B">
        <w:rPr>
          <w:rFonts w:ascii="Bookman Old Style" w:hAnsi="Bookman Old Style"/>
          <w:b/>
          <w:bCs/>
          <w:sz w:val="22"/>
          <w:szCs w:val="22"/>
          <w:lang w:val="id-ID"/>
        </w:rPr>
        <w:t>Perkembangan</w:t>
      </w:r>
      <w:r w:rsidRPr="007F541B">
        <w:rPr>
          <w:rFonts w:ascii="Bookman Old Style" w:hAnsi="Bookman Old Style"/>
          <w:sz w:val="22"/>
          <w:szCs w:val="22"/>
          <w:lang w:val="id-ID"/>
        </w:rPr>
        <w:t xml:space="preserve"> </w:t>
      </w:r>
      <w:r w:rsidRPr="007F541B">
        <w:rPr>
          <w:rFonts w:ascii="Bookman Old Style" w:hAnsi="Bookman Old Style"/>
          <w:b/>
          <w:bCs/>
          <w:sz w:val="22"/>
          <w:szCs w:val="22"/>
          <w:lang w:val="id-ID"/>
        </w:rPr>
        <w:t>Sektor Perbankan (PBKN) </w:t>
      </w:r>
      <w:r w:rsidRPr="007F541B">
        <w:rPr>
          <w:rFonts w:ascii="Bookman Old Style" w:hAnsi="Bookman Old Style"/>
          <w:sz w:val="22"/>
          <w:szCs w:val="22"/>
          <w:lang w:val="id-ID"/>
        </w:rPr>
        <w:t>  </w:t>
      </w:r>
    </w:p>
    <w:p w14:paraId="05A4822A" w14:textId="6DC1FE2A" w:rsidR="00DB5475" w:rsidRPr="007F541B" w:rsidRDefault="005B1C50" w:rsidP="00DB5475">
      <w:pPr>
        <w:spacing w:after="120" w:line="276" w:lineRule="auto"/>
        <w:jc w:val="both"/>
        <w:rPr>
          <w:rFonts w:ascii="Bookman Old Style" w:hAnsi="Bookman Old Style"/>
          <w:sz w:val="22"/>
          <w:szCs w:val="22"/>
          <w:lang w:val="id-ID"/>
        </w:rPr>
      </w:pPr>
      <w:r w:rsidRPr="005B1C50">
        <w:rPr>
          <w:noProof/>
        </w:rPr>
        <w:drawing>
          <wp:inline distT="0" distB="0" distL="0" distR="0" wp14:anchorId="3AA754EE" wp14:editId="30502D33">
            <wp:extent cx="5731510" cy="2193925"/>
            <wp:effectExtent l="0" t="0" r="2540" b="0"/>
            <wp:docPr id="148783771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2193925"/>
                    </a:xfrm>
                    <a:prstGeom prst="rect">
                      <a:avLst/>
                    </a:prstGeom>
                    <a:noFill/>
                    <a:ln>
                      <a:noFill/>
                    </a:ln>
                  </pic:spPr>
                </pic:pic>
              </a:graphicData>
            </a:graphic>
          </wp:inline>
        </w:drawing>
      </w:r>
    </w:p>
    <w:p w14:paraId="1E5E108C" w14:textId="177A5C80" w:rsidR="00DB5475" w:rsidRPr="007F541B" w:rsidRDefault="00DB5475" w:rsidP="00DB5475">
      <w:pPr>
        <w:spacing w:after="120" w:line="276" w:lineRule="auto"/>
        <w:jc w:val="both"/>
        <w:rPr>
          <w:rFonts w:ascii="Bookman Old Style" w:hAnsi="Bookman Old Style"/>
          <w:sz w:val="22"/>
          <w:szCs w:val="22"/>
          <w:lang w:val="id-ID"/>
        </w:rPr>
      </w:pPr>
      <w:r w:rsidRPr="007F541B">
        <w:rPr>
          <w:rFonts w:ascii="Bookman Old Style" w:hAnsi="Bookman Old Style"/>
          <w:sz w:val="22"/>
          <w:szCs w:val="22"/>
          <w:lang w:val="id-ID"/>
        </w:rPr>
        <w:t xml:space="preserve">Kinerja intermediasi perbankan stabil dengan profil risiko yang terjaga, yaitu kredit tumbuh </w:t>
      </w:r>
      <w:r w:rsidR="00EA18C5" w:rsidRPr="007F541B">
        <w:rPr>
          <w:rFonts w:ascii="Bookman Old Style" w:hAnsi="Bookman Old Style"/>
          <w:sz w:val="22"/>
          <w:szCs w:val="22"/>
          <w:lang w:val="id-ID"/>
        </w:rPr>
        <w:t>7</w:t>
      </w:r>
      <w:r w:rsidRPr="007F541B">
        <w:rPr>
          <w:rFonts w:ascii="Bookman Old Style" w:hAnsi="Bookman Old Style"/>
          <w:sz w:val="22"/>
          <w:szCs w:val="22"/>
          <w:lang w:val="id-ID"/>
        </w:rPr>
        <w:t>,</w:t>
      </w:r>
      <w:r w:rsidR="00EA18C5" w:rsidRPr="007F541B">
        <w:rPr>
          <w:rFonts w:ascii="Bookman Old Style" w:hAnsi="Bookman Old Style"/>
          <w:sz w:val="22"/>
          <w:szCs w:val="22"/>
          <w:lang w:val="id-ID"/>
        </w:rPr>
        <w:t>77</w:t>
      </w:r>
      <w:r w:rsidRPr="007F541B">
        <w:rPr>
          <w:rFonts w:ascii="Bookman Old Style" w:hAnsi="Bookman Old Style"/>
          <w:sz w:val="22"/>
          <w:szCs w:val="22"/>
          <w:lang w:val="id-ID"/>
        </w:rPr>
        <w:t xml:space="preserve"> persen </w:t>
      </w:r>
      <w:r w:rsidRPr="007F541B">
        <w:rPr>
          <w:rFonts w:ascii="Bookman Old Style" w:hAnsi="Bookman Old Style"/>
          <w:i/>
          <w:sz w:val="22"/>
          <w:szCs w:val="22"/>
          <w:lang w:val="id-ID"/>
        </w:rPr>
        <w:t>yoy</w:t>
      </w:r>
      <w:r w:rsidRPr="007F541B">
        <w:rPr>
          <w:rFonts w:ascii="Bookman Old Style" w:hAnsi="Bookman Old Style"/>
          <w:sz w:val="22"/>
          <w:szCs w:val="22"/>
          <w:lang w:val="id-ID"/>
        </w:rPr>
        <w:t xml:space="preserve"> di </w:t>
      </w:r>
      <w:r w:rsidR="00357052" w:rsidRPr="007F541B">
        <w:rPr>
          <w:rFonts w:ascii="Bookman Old Style" w:hAnsi="Bookman Old Style"/>
          <w:sz w:val="22"/>
          <w:szCs w:val="22"/>
          <w:lang w:val="id-ID"/>
        </w:rPr>
        <w:t>Juni</w:t>
      </w:r>
      <w:r w:rsidRPr="007F541B">
        <w:rPr>
          <w:rFonts w:ascii="Bookman Old Style" w:hAnsi="Bookman Old Style"/>
          <w:sz w:val="22"/>
          <w:szCs w:val="22"/>
          <w:lang w:val="id-ID"/>
        </w:rPr>
        <w:t xml:space="preserve"> 2025 (Mei 2025: 8,</w:t>
      </w:r>
      <w:r w:rsidR="00357052" w:rsidRPr="007F541B">
        <w:rPr>
          <w:rFonts w:ascii="Bookman Old Style" w:hAnsi="Bookman Old Style"/>
          <w:sz w:val="22"/>
          <w:szCs w:val="22"/>
          <w:lang w:val="id-ID"/>
        </w:rPr>
        <w:t>43</w:t>
      </w:r>
      <w:r w:rsidRPr="007F541B">
        <w:rPr>
          <w:rFonts w:ascii="Bookman Old Style" w:hAnsi="Bookman Old Style"/>
          <w:sz w:val="22"/>
          <w:szCs w:val="22"/>
          <w:lang w:val="id-ID"/>
        </w:rPr>
        <w:t xml:space="preserve"> persen) menjadi Rp</w:t>
      </w:r>
      <w:r w:rsidR="00357052" w:rsidRPr="007F541B">
        <w:rPr>
          <w:rFonts w:ascii="Bookman Old Style" w:hAnsi="Bookman Old Style"/>
          <w:sz w:val="22"/>
          <w:szCs w:val="22"/>
          <w:lang w:val="id-ID"/>
        </w:rPr>
        <w:t>8</w:t>
      </w:r>
      <w:r w:rsidRPr="007F541B">
        <w:rPr>
          <w:rFonts w:ascii="Bookman Old Style" w:hAnsi="Bookman Old Style"/>
          <w:sz w:val="22"/>
          <w:szCs w:val="22"/>
          <w:lang w:val="id-ID"/>
        </w:rPr>
        <w:t>.</w:t>
      </w:r>
      <w:r w:rsidR="00357052" w:rsidRPr="007F541B">
        <w:rPr>
          <w:rFonts w:ascii="Bookman Old Style" w:hAnsi="Bookman Old Style"/>
          <w:sz w:val="22"/>
          <w:szCs w:val="22"/>
          <w:lang w:val="id-ID"/>
        </w:rPr>
        <w:t>0</w:t>
      </w:r>
      <w:r w:rsidR="00CD0090" w:rsidRPr="007F541B">
        <w:rPr>
          <w:rFonts w:ascii="Bookman Old Style" w:hAnsi="Bookman Old Style"/>
          <w:sz w:val="22"/>
          <w:szCs w:val="22"/>
          <w:lang w:val="id-ID"/>
        </w:rPr>
        <w:t>59</w:t>
      </w:r>
      <w:r w:rsidRPr="007F541B">
        <w:rPr>
          <w:rFonts w:ascii="Bookman Old Style" w:hAnsi="Bookman Old Style"/>
          <w:sz w:val="22"/>
          <w:szCs w:val="22"/>
          <w:lang w:val="id-ID"/>
        </w:rPr>
        <w:t>,</w:t>
      </w:r>
      <w:r w:rsidR="005B71C9" w:rsidRPr="007F541B">
        <w:rPr>
          <w:rFonts w:ascii="Bookman Old Style" w:hAnsi="Bookman Old Style"/>
          <w:sz w:val="22"/>
          <w:szCs w:val="22"/>
          <w:lang w:val="id-ID"/>
        </w:rPr>
        <w:t>79</w:t>
      </w:r>
      <w:r w:rsidRPr="007F541B">
        <w:rPr>
          <w:rFonts w:ascii="Bookman Old Style" w:hAnsi="Bookman Old Style"/>
          <w:sz w:val="22"/>
          <w:szCs w:val="22"/>
          <w:lang w:val="id-ID"/>
        </w:rPr>
        <w:t xml:space="preserve"> triliun.</w:t>
      </w:r>
    </w:p>
    <w:p w14:paraId="19AD9EC8" w14:textId="5519E61C" w:rsidR="00DB5475" w:rsidRPr="007F541B" w:rsidRDefault="00DB5475" w:rsidP="00DB5475">
      <w:pPr>
        <w:spacing w:after="120" w:line="276" w:lineRule="auto"/>
        <w:jc w:val="both"/>
        <w:rPr>
          <w:rFonts w:ascii="Bookman Old Style" w:hAnsi="Bookman Old Style"/>
          <w:sz w:val="22"/>
          <w:szCs w:val="22"/>
          <w:lang w:val="id-ID"/>
        </w:rPr>
      </w:pPr>
      <w:r w:rsidRPr="007F541B">
        <w:rPr>
          <w:rFonts w:ascii="Bookman Old Style" w:hAnsi="Bookman Old Style"/>
          <w:sz w:val="22"/>
          <w:szCs w:val="22"/>
          <w:lang w:val="id-ID"/>
        </w:rPr>
        <w:t>Berdasarkan jenis penggunaan, Kredit Investasi tumbuh tertinggi sebesar 1</w:t>
      </w:r>
      <w:r w:rsidR="00BF3241" w:rsidRPr="007F541B">
        <w:rPr>
          <w:rFonts w:ascii="Bookman Old Style" w:hAnsi="Bookman Old Style"/>
          <w:sz w:val="22"/>
          <w:szCs w:val="22"/>
          <w:lang w:val="id-ID"/>
        </w:rPr>
        <w:t>2</w:t>
      </w:r>
      <w:r w:rsidRPr="007F541B">
        <w:rPr>
          <w:rFonts w:ascii="Bookman Old Style" w:hAnsi="Bookman Old Style"/>
          <w:sz w:val="22"/>
          <w:szCs w:val="22"/>
          <w:lang w:val="id-ID"/>
        </w:rPr>
        <w:t>,</w:t>
      </w:r>
      <w:r w:rsidR="00BF3241" w:rsidRPr="007F541B">
        <w:rPr>
          <w:rFonts w:ascii="Bookman Old Style" w:hAnsi="Bookman Old Style"/>
          <w:sz w:val="22"/>
          <w:szCs w:val="22"/>
          <w:lang w:val="id-ID"/>
        </w:rPr>
        <w:t>53</w:t>
      </w:r>
      <w:r w:rsidRPr="007F541B">
        <w:rPr>
          <w:rFonts w:ascii="Bookman Old Style" w:hAnsi="Bookman Old Style"/>
          <w:sz w:val="22"/>
          <w:szCs w:val="22"/>
          <w:lang w:val="id-ID"/>
        </w:rPr>
        <w:t xml:space="preserve"> persen, diikuti oleh Kredit Konsumsi 8,</w:t>
      </w:r>
      <w:r w:rsidR="00BF3241" w:rsidRPr="007F541B">
        <w:rPr>
          <w:rFonts w:ascii="Bookman Old Style" w:hAnsi="Bookman Old Style"/>
          <w:sz w:val="22"/>
          <w:szCs w:val="22"/>
          <w:lang w:val="id-ID"/>
        </w:rPr>
        <w:t>49</w:t>
      </w:r>
      <w:r w:rsidRPr="007F541B">
        <w:rPr>
          <w:rFonts w:ascii="Bookman Old Style" w:hAnsi="Bookman Old Style"/>
          <w:sz w:val="22"/>
          <w:szCs w:val="22"/>
          <w:lang w:val="id-ID"/>
        </w:rPr>
        <w:t xml:space="preserve"> persen, sedangkan Kredit Modal Kerja tumbuh 4,</w:t>
      </w:r>
      <w:r w:rsidR="00C4062B" w:rsidRPr="007F541B">
        <w:rPr>
          <w:rFonts w:ascii="Bookman Old Style" w:hAnsi="Bookman Old Style"/>
          <w:sz w:val="22"/>
          <w:szCs w:val="22"/>
          <w:lang w:val="id-ID"/>
        </w:rPr>
        <w:t>45</w:t>
      </w:r>
      <w:r w:rsidRPr="007F541B">
        <w:rPr>
          <w:rFonts w:ascii="Bookman Old Style" w:hAnsi="Bookman Old Style"/>
          <w:sz w:val="22"/>
          <w:szCs w:val="22"/>
          <w:lang w:val="id-ID"/>
        </w:rPr>
        <w:t xml:space="preserve"> persen </w:t>
      </w:r>
      <w:r w:rsidRPr="007F541B">
        <w:rPr>
          <w:rFonts w:ascii="Bookman Old Style" w:hAnsi="Bookman Old Style"/>
          <w:i/>
          <w:sz w:val="22"/>
          <w:szCs w:val="22"/>
          <w:lang w:val="id-ID"/>
        </w:rPr>
        <w:t>yoy</w:t>
      </w:r>
      <w:r w:rsidRPr="007F541B">
        <w:rPr>
          <w:rFonts w:ascii="Bookman Old Style" w:hAnsi="Bookman Old Style"/>
          <w:sz w:val="22"/>
          <w:szCs w:val="22"/>
          <w:lang w:val="id-ID"/>
        </w:rPr>
        <w:t xml:space="preserve">. Ditinjau dari kepemilikan, </w:t>
      </w:r>
      <w:r w:rsidR="005A1FD5">
        <w:rPr>
          <w:rFonts w:ascii="Bookman Old Style" w:hAnsi="Bookman Old Style"/>
          <w:sz w:val="22"/>
          <w:szCs w:val="22"/>
          <w:lang w:val="id-ID"/>
        </w:rPr>
        <w:t xml:space="preserve">kredit dari </w:t>
      </w:r>
      <w:r w:rsidRPr="007F541B">
        <w:rPr>
          <w:rFonts w:ascii="Bookman Old Style" w:hAnsi="Bookman Old Style"/>
          <w:sz w:val="22"/>
          <w:szCs w:val="22"/>
          <w:lang w:val="id-ID"/>
        </w:rPr>
        <w:t xml:space="preserve">bank </w:t>
      </w:r>
      <w:r w:rsidR="003365BF" w:rsidRPr="007F541B">
        <w:rPr>
          <w:rFonts w:ascii="Bookman Old Style" w:hAnsi="Bookman Old Style"/>
          <w:sz w:val="22"/>
          <w:szCs w:val="22"/>
          <w:lang w:val="id-ID"/>
        </w:rPr>
        <w:t xml:space="preserve">umum swasta </w:t>
      </w:r>
      <w:r w:rsidR="00593BAA" w:rsidRPr="007F541B">
        <w:rPr>
          <w:rFonts w:ascii="Bookman Old Style" w:hAnsi="Bookman Old Style"/>
          <w:sz w:val="22"/>
          <w:szCs w:val="22"/>
          <w:lang w:val="id-ID"/>
        </w:rPr>
        <w:t xml:space="preserve">nasional domestik </w:t>
      </w:r>
      <w:r w:rsidRPr="007F541B">
        <w:rPr>
          <w:rFonts w:ascii="Bookman Old Style" w:hAnsi="Bookman Old Style"/>
          <w:sz w:val="22"/>
          <w:szCs w:val="22"/>
          <w:lang w:val="id-ID"/>
        </w:rPr>
        <w:t>tumbuh paling tinggi yaitu sebesar 1</w:t>
      </w:r>
      <w:r w:rsidR="00593BAA" w:rsidRPr="007F541B">
        <w:rPr>
          <w:rFonts w:ascii="Bookman Old Style" w:hAnsi="Bookman Old Style"/>
          <w:sz w:val="22"/>
          <w:szCs w:val="22"/>
          <w:lang w:val="id-ID"/>
        </w:rPr>
        <w:t>0</w:t>
      </w:r>
      <w:r w:rsidRPr="007F541B">
        <w:rPr>
          <w:rFonts w:ascii="Bookman Old Style" w:hAnsi="Bookman Old Style"/>
          <w:sz w:val="22"/>
          <w:szCs w:val="22"/>
          <w:lang w:val="id-ID"/>
        </w:rPr>
        <w:t>,</w:t>
      </w:r>
      <w:r w:rsidR="00593BAA" w:rsidRPr="007F541B">
        <w:rPr>
          <w:rFonts w:ascii="Bookman Old Style" w:hAnsi="Bookman Old Style"/>
          <w:sz w:val="22"/>
          <w:szCs w:val="22"/>
          <w:lang w:val="id-ID"/>
        </w:rPr>
        <w:t>78</w:t>
      </w:r>
      <w:r w:rsidRPr="007F541B">
        <w:rPr>
          <w:rFonts w:ascii="Bookman Old Style" w:hAnsi="Bookman Old Style"/>
          <w:sz w:val="22"/>
          <w:szCs w:val="22"/>
          <w:lang w:val="id-ID"/>
        </w:rPr>
        <w:t xml:space="preserve"> persen </w:t>
      </w:r>
      <w:r w:rsidRPr="007F541B">
        <w:rPr>
          <w:rFonts w:ascii="Bookman Old Style" w:hAnsi="Bookman Old Style"/>
          <w:i/>
          <w:sz w:val="22"/>
          <w:szCs w:val="22"/>
          <w:lang w:val="id-ID"/>
        </w:rPr>
        <w:t>yoy</w:t>
      </w:r>
      <w:r w:rsidRPr="007F541B">
        <w:rPr>
          <w:rFonts w:ascii="Bookman Old Style" w:hAnsi="Bookman Old Style"/>
          <w:sz w:val="22"/>
          <w:szCs w:val="22"/>
          <w:lang w:val="id-ID"/>
        </w:rPr>
        <w:t>. Dari kategori debitur, kredit korporasi tumbuh sebesar 1</w:t>
      </w:r>
      <w:r w:rsidR="008D2174" w:rsidRPr="007F541B">
        <w:rPr>
          <w:rFonts w:ascii="Bookman Old Style" w:hAnsi="Bookman Old Style"/>
          <w:sz w:val="22"/>
          <w:szCs w:val="22"/>
          <w:lang w:val="id-ID"/>
        </w:rPr>
        <w:t>0</w:t>
      </w:r>
      <w:r w:rsidRPr="007F541B">
        <w:rPr>
          <w:rFonts w:ascii="Bookman Old Style" w:hAnsi="Bookman Old Style"/>
          <w:sz w:val="22"/>
          <w:szCs w:val="22"/>
          <w:lang w:val="id-ID"/>
        </w:rPr>
        <w:t>,</w:t>
      </w:r>
      <w:r w:rsidR="008D2174" w:rsidRPr="007F541B">
        <w:rPr>
          <w:rFonts w:ascii="Bookman Old Style" w:hAnsi="Bookman Old Style"/>
          <w:sz w:val="22"/>
          <w:szCs w:val="22"/>
          <w:lang w:val="id-ID"/>
        </w:rPr>
        <w:t>78</w:t>
      </w:r>
      <w:r w:rsidRPr="007F541B">
        <w:rPr>
          <w:rFonts w:ascii="Bookman Old Style" w:hAnsi="Bookman Old Style"/>
          <w:sz w:val="22"/>
          <w:szCs w:val="22"/>
          <w:lang w:val="id-ID"/>
        </w:rPr>
        <w:t xml:space="preserve"> persen, sementara kredit UMKM tumbuh sebesar 2,1</w:t>
      </w:r>
      <w:r w:rsidR="00CC1D8E" w:rsidRPr="007F541B">
        <w:rPr>
          <w:rFonts w:ascii="Bookman Old Style" w:hAnsi="Bookman Old Style"/>
          <w:sz w:val="22"/>
          <w:szCs w:val="22"/>
          <w:lang w:val="id-ID"/>
        </w:rPr>
        <w:t>8</w:t>
      </w:r>
      <w:r w:rsidRPr="007F541B">
        <w:rPr>
          <w:rFonts w:ascii="Bookman Old Style" w:hAnsi="Bookman Old Style"/>
          <w:sz w:val="22"/>
          <w:szCs w:val="22"/>
          <w:lang w:val="id-ID"/>
        </w:rPr>
        <w:t xml:space="preserve"> persen,  di  tengah  upaya  perbankan  yang  berfokus  pada  pemulihan kualitas kredit UMKM.</w:t>
      </w:r>
    </w:p>
    <w:p w14:paraId="6BCBB1C1" w14:textId="77777777" w:rsidR="005A1938" w:rsidRPr="000E2171" w:rsidRDefault="005A1938" w:rsidP="005A1938">
      <w:pPr>
        <w:spacing w:after="120" w:line="276" w:lineRule="auto"/>
        <w:jc w:val="both"/>
        <w:rPr>
          <w:rFonts w:ascii="Bookman Old Style" w:hAnsi="Bookman Old Style"/>
          <w:sz w:val="22"/>
          <w:szCs w:val="22"/>
          <w:lang w:val="id-ID"/>
        </w:rPr>
      </w:pPr>
      <w:r w:rsidRPr="000E2171">
        <w:rPr>
          <w:rFonts w:ascii="Bookman Old Style" w:hAnsi="Bookman Old Style"/>
          <w:sz w:val="22"/>
          <w:szCs w:val="22"/>
          <w:lang w:val="id-ID"/>
        </w:rPr>
        <w:t xml:space="preserve">Jika dilihat berdasarkan sektor ekonomi, penyaluran kredit ke beberapa sektor tercatat tumbuh tinggi secara tahunan mencapai </w:t>
      </w:r>
      <w:r w:rsidRPr="000E2171">
        <w:rPr>
          <w:rFonts w:ascii="Bookman Old Style" w:hAnsi="Bookman Old Style"/>
          <w:i/>
          <w:iCs/>
          <w:sz w:val="22"/>
          <w:szCs w:val="22"/>
          <w:lang w:val="id-ID"/>
        </w:rPr>
        <w:t>double digit</w:t>
      </w:r>
      <w:r w:rsidRPr="000E2171">
        <w:rPr>
          <w:rFonts w:ascii="Bookman Old Style" w:hAnsi="Bookman Old Style"/>
          <w:sz w:val="22"/>
          <w:szCs w:val="22"/>
          <w:lang w:val="id-ID"/>
        </w:rPr>
        <w:t xml:space="preserve">. Sektor pertambangan dan penggalian tercatat tumbuh 20,69 persen, sektor jasa tumbuh 19,17 persen, sektor transportasi dan komunikasi tumbuh 17,94 persen, serta sektor listrik, gas dan air tumbuh 11,23 persen. </w:t>
      </w:r>
    </w:p>
    <w:p w14:paraId="34B122EB" w14:textId="3300507C" w:rsidR="00DB5475" w:rsidRPr="007F541B" w:rsidRDefault="005A1938" w:rsidP="00DB5475">
      <w:pPr>
        <w:spacing w:after="120" w:line="276" w:lineRule="auto"/>
        <w:jc w:val="both"/>
        <w:rPr>
          <w:rFonts w:ascii="Bookman Old Style" w:hAnsi="Bookman Old Style"/>
          <w:sz w:val="22"/>
          <w:szCs w:val="22"/>
          <w:lang w:val="id-ID"/>
        </w:rPr>
      </w:pPr>
      <w:r>
        <w:rPr>
          <w:rFonts w:ascii="Bookman Old Style" w:hAnsi="Bookman Old Style"/>
          <w:sz w:val="22"/>
          <w:szCs w:val="22"/>
          <w:lang w:val="id-ID"/>
        </w:rPr>
        <w:t xml:space="preserve">Sementara itu, </w:t>
      </w:r>
      <w:r w:rsidR="00DB5475" w:rsidRPr="007F541B">
        <w:rPr>
          <w:rFonts w:ascii="Bookman Old Style" w:hAnsi="Bookman Old Style"/>
          <w:sz w:val="22"/>
          <w:szCs w:val="22"/>
          <w:lang w:val="id-ID"/>
        </w:rPr>
        <w:t xml:space="preserve">Dana Pihak Ketiga (DPK) tercatat tumbuh sebesar </w:t>
      </w:r>
      <w:r w:rsidR="00CC1D8E" w:rsidRPr="007F541B">
        <w:rPr>
          <w:rFonts w:ascii="Bookman Old Style" w:hAnsi="Bookman Old Style"/>
          <w:sz w:val="22"/>
          <w:szCs w:val="22"/>
          <w:lang w:val="id-ID"/>
        </w:rPr>
        <w:t>6</w:t>
      </w:r>
      <w:r w:rsidR="00DB5475" w:rsidRPr="007F541B">
        <w:rPr>
          <w:rFonts w:ascii="Bookman Old Style" w:hAnsi="Bookman Old Style"/>
          <w:sz w:val="22"/>
          <w:szCs w:val="22"/>
          <w:lang w:val="id-ID"/>
        </w:rPr>
        <w:t>,</w:t>
      </w:r>
      <w:r w:rsidR="00CC1D8E" w:rsidRPr="007F541B">
        <w:rPr>
          <w:rFonts w:ascii="Bookman Old Style" w:hAnsi="Bookman Old Style"/>
          <w:sz w:val="22"/>
          <w:szCs w:val="22"/>
          <w:lang w:val="id-ID"/>
        </w:rPr>
        <w:t>96</w:t>
      </w:r>
      <w:r w:rsidR="00DB5475" w:rsidRPr="007F541B">
        <w:rPr>
          <w:rFonts w:ascii="Bookman Old Style" w:hAnsi="Bookman Old Style"/>
          <w:sz w:val="22"/>
          <w:szCs w:val="22"/>
          <w:lang w:val="id-ID"/>
        </w:rPr>
        <w:t xml:space="preserve"> persen </w:t>
      </w:r>
      <w:r w:rsidR="00DB5475" w:rsidRPr="007F541B">
        <w:rPr>
          <w:rFonts w:ascii="Bookman Old Style" w:hAnsi="Bookman Old Style"/>
          <w:i/>
          <w:sz w:val="22"/>
          <w:szCs w:val="22"/>
          <w:lang w:val="id-ID"/>
        </w:rPr>
        <w:t>yoy</w:t>
      </w:r>
      <w:r w:rsidR="00DB5475" w:rsidRPr="007F541B">
        <w:rPr>
          <w:rFonts w:ascii="Bookman Old Style" w:hAnsi="Bookman Old Style"/>
          <w:sz w:val="22"/>
          <w:szCs w:val="22"/>
          <w:lang w:val="id-ID"/>
        </w:rPr>
        <w:t xml:space="preserve"> (</w:t>
      </w:r>
      <w:r w:rsidR="00CC1D8E" w:rsidRPr="007F541B">
        <w:rPr>
          <w:rFonts w:ascii="Bookman Old Style" w:hAnsi="Bookman Old Style"/>
          <w:sz w:val="22"/>
          <w:szCs w:val="22"/>
          <w:lang w:val="id-ID"/>
        </w:rPr>
        <w:t>Mei</w:t>
      </w:r>
      <w:r w:rsidR="00DB5475" w:rsidRPr="007F541B">
        <w:rPr>
          <w:rFonts w:ascii="Bookman Old Style" w:hAnsi="Bookman Old Style"/>
          <w:sz w:val="22"/>
          <w:szCs w:val="22"/>
          <w:lang w:val="id-ID"/>
        </w:rPr>
        <w:t xml:space="preserve"> 2025: 4,29 persen </w:t>
      </w:r>
      <w:r w:rsidR="00DB5475" w:rsidRPr="007F541B">
        <w:rPr>
          <w:rFonts w:ascii="Bookman Old Style" w:hAnsi="Bookman Old Style"/>
          <w:i/>
          <w:sz w:val="22"/>
          <w:szCs w:val="22"/>
          <w:lang w:val="id-ID"/>
        </w:rPr>
        <w:t>yoy</w:t>
      </w:r>
      <w:r w:rsidR="00DB5475" w:rsidRPr="007F541B">
        <w:rPr>
          <w:rFonts w:ascii="Bookman Old Style" w:hAnsi="Bookman Old Style"/>
          <w:sz w:val="22"/>
          <w:szCs w:val="22"/>
          <w:lang w:val="id-ID"/>
        </w:rPr>
        <w:t>) menjadi Rp9.</w:t>
      </w:r>
      <w:r w:rsidR="005A3EF2" w:rsidRPr="007F541B">
        <w:rPr>
          <w:rFonts w:ascii="Bookman Old Style" w:hAnsi="Bookman Old Style"/>
          <w:sz w:val="22"/>
          <w:szCs w:val="22"/>
          <w:lang w:val="id-ID"/>
        </w:rPr>
        <w:t>329</w:t>
      </w:r>
      <w:r w:rsidR="00DB5475" w:rsidRPr="007F541B">
        <w:rPr>
          <w:rFonts w:ascii="Bookman Old Style" w:hAnsi="Bookman Old Style"/>
          <w:sz w:val="22"/>
          <w:szCs w:val="22"/>
          <w:lang w:val="id-ID"/>
        </w:rPr>
        <w:t xml:space="preserve"> triliun, dengan giro, tabungan, dan </w:t>
      </w:r>
      <w:r w:rsidR="00DB5475" w:rsidRPr="007F541B">
        <w:rPr>
          <w:rFonts w:ascii="Bookman Old Style" w:hAnsi="Bookman Old Style"/>
          <w:sz w:val="22"/>
          <w:szCs w:val="22"/>
          <w:lang w:val="id-ID"/>
        </w:rPr>
        <w:lastRenderedPageBreak/>
        <w:t xml:space="preserve">deposito masing-masing tumbuh sebesar </w:t>
      </w:r>
      <w:r w:rsidR="00F3241B" w:rsidRPr="007F541B">
        <w:rPr>
          <w:rFonts w:ascii="Bookman Old Style" w:hAnsi="Bookman Old Style"/>
          <w:sz w:val="22"/>
          <w:szCs w:val="22"/>
          <w:lang w:val="id-ID"/>
        </w:rPr>
        <w:t>10</w:t>
      </w:r>
      <w:r w:rsidR="00DB5475" w:rsidRPr="007F541B">
        <w:rPr>
          <w:rFonts w:ascii="Bookman Old Style" w:hAnsi="Bookman Old Style"/>
          <w:sz w:val="22"/>
          <w:szCs w:val="22"/>
          <w:lang w:val="id-ID"/>
        </w:rPr>
        <w:t>,</w:t>
      </w:r>
      <w:r w:rsidR="00F3241B" w:rsidRPr="007F541B">
        <w:rPr>
          <w:rFonts w:ascii="Bookman Old Style" w:hAnsi="Bookman Old Style"/>
          <w:sz w:val="22"/>
          <w:szCs w:val="22"/>
          <w:lang w:val="id-ID"/>
        </w:rPr>
        <w:t>35</w:t>
      </w:r>
      <w:r w:rsidR="00DB5475" w:rsidRPr="007F541B">
        <w:rPr>
          <w:rFonts w:ascii="Bookman Old Style" w:hAnsi="Bookman Old Style"/>
          <w:sz w:val="22"/>
          <w:szCs w:val="22"/>
          <w:lang w:val="id-ID"/>
        </w:rPr>
        <w:t xml:space="preserve"> persen, </w:t>
      </w:r>
      <w:r w:rsidR="00E452E0" w:rsidRPr="007F541B">
        <w:rPr>
          <w:rFonts w:ascii="Bookman Old Style" w:hAnsi="Bookman Old Style"/>
          <w:sz w:val="22"/>
          <w:szCs w:val="22"/>
          <w:lang w:val="id-ID"/>
        </w:rPr>
        <w:t>6</w:t>
      </w:r>
      <w:r w:rsidR="00DB5475" w:rsidRPr="007F541B">
        <w:rPr>
          <w:rFonts w:ascii="Bookman Old Style" w:hAnsi="Bookman Old Style"/>
          <w:sz w:val="22"/>
          <w:szCs w:val="22"/>
          <w:lang w:val="id-ID"/>
        </w:rPr>
        <w:t>,</w:t>
      </w:r>
      <w:r w:rsidR="00E452E0" w:rsidRPr="007F541B">
        <w:rPr>
          <w:rFonts w:ascii="Bookman Old Style" w:hAnsi="Bookman Old Style"/>
          <w:sz w:val="22"/>
          <w:szCs w:val="22"/>
          <w:lang w:val="id-ID"/>
        </w:rPr>
        <w:t>84</w:t>
      </w:r>
      <w:r w:rsidR="00DB5475" w:rsidRPr="007F541B">
        <w:rPr>
          <w:rFonts w:ascii="Bookman Old Style" w:hAnsi="Bookman Old Style"/>
          <w:sz w:val="22"/>
          <w:szCs w:val="22"/>
          <w:lang w:val="id-ID"/>
        </w:rPr>
        <w:t xml:space="preserve"> persen, dan </w:t>
      </w:r>
      <w:r w:rsidR="005C537E" w:rsidRPr="007F541B">
        <w:rPr>
          <w:rFonts w:ascii="Bookman Old Style" w:hAnsi="Bookman Old Style"/>
          <w:sz w:val="22"/>
          <w:szCs w:val="22"/>
          <w:lang w:val="id-ID"/>
        </w:rPr>
        <w:t>4</w:t>
      </w:r>
      <w:r w:rsidR="00DB5475" w:rsidRPr="007F541B">
        <w:rPr>
          <w:rFonts w:ascii="Bookman Old Style" w:hAnsi="Bookman Old Style"/>
          <w:sz w:val="22"/>
          <w:szCs w:val="22"/>
          <w:lang w:val="id-ID"/>
        </w:rPr>
        <w:t>,</w:t>
      </w:r>
      <w:r w:rsidR="005C537E" w:rsidRPr="007F541B">
        <w:rPr>
          <w:rFonts w:ascii="Bookman Old Style" w:hAnsi="Bookman Old Style"/>
          <w:sz w:val="22"/>
          <w:szCs w:val="22"/>
          <w:lang w:val="id-ID"/>
        </w:rPr>
        <w:t>19</w:t>
      </w:r>
      <w:r w:rsidR="00DB5475" w:rsidRPr="007F541B">
        <w:rPr>
          <w:rFonts w:ascii="Bookman Old Style" w:hAnsi="Bookman Old Style"/>
          <w:sz w:val="22"/>
          <w:szCs w:val="22"/>
          <w:lang w:val="id-ID"/>
        </w:rPr>
        <w:t xml:space="preserve"> persen </w:t>
      </w:r>
      <w:r w:rsidR="00DB5475" w:rsidRPr="007F541B">
        <w:rPr>
          <w:rFonts w:ascii="Bookman Old Style" w:hAnsi="Bookman Old Style"/>
          <w:i/>
          <w:sz w:val="22"/>
          <w:szCs w:val="22"/>
          <w:lang w:val="id-ID"/>
        </w:rPr>
        <w:t>yoy</w:t>
      </w:r>
      <w:r w:rsidR="00DB5475" w:rsidRPr="007F541B">
        <w:rPr>
          <w:rFonts w:ascii="Bookman Old Style" w:hAnsi="Bookman Old Style"/>
          <w:sz w:val="22"/>
          <w:szCs w:val="22"/>
          <w:lang w:val="id-ID"/>
        </w:rPr>
        <w:t xml:space="preserve">. </w:t>
      </w:r>
    </w:p>
    <w:p w14:paraId="5CD907DB" w14:textId="2E1C8542" w:rsidR="00614707" w:rsidRPr="000E2171" w:rsidRDefault="00614707" w:rsidP="00614707">
      <w:pPr>
        <w:spacing w:after="120" w:line="276" w:lineRule="auto"/>
        <w:jc w:val="both"/>
        <w:rPr>
          <w:rFonts w:ascii="Bookman Old Style" w:hAnsi="Bookman Old Style"/>
          <w:sz w:val="22"/>
          <w:szCs w:val="22"/>
          <w:lang w:val="it-IT"/>
        </w:rPr>
      </w:pPr>
      <w:r w:rsidRPr="000E2171">
        <w:rPr>
          <w:rFonts w:ascii="Bookman Old Style" w:hAnsi="Bookman Old Style"/>
          <w:sz w:val="22"/>
          <w:szCs w:val="22"/>
          <w:lang w:val="id-ID"/>
        </w:rPr>
        <w:t xml:space="preserve">Penurunan BI </w:t>
      </w:r>
      <w:r w:rsidR="008102A1" w:rsidRPr="000E2171">
        <w:rPr>
          <w:rFonts w:ascii="Bookman Old Style" w:hAnsi="Bookman Old Style"/>
          <w:i/>
          <w:iCs/>
          <w:sz w:val="22"/>
          <w:szCs w:val="22"/>
          <w:lang w:val="id-ID"/>
        </w:rPr>
        <w:t>R</w:t>
      </w:r>
      <w:r w:rsidRPr="000E2171">
        <w:rPr>
          <w:rFonts w:ascii="Bookman Old Style" w:hAnsi="Bookman Old Style"/>
          <w:i/>
          <w:sz w:val="22"/>
          <w:szCs w:val="22"/>
          <w:lang w:val="id-ID"/>
        </w:rPr>
        <w:t>ate</w:t>
      </w:r>
      <w:r w:rsidRPr="000E2171">
        <w:rPr>
          <w:rFonts w:ascii="Bookman Old Style" w:hAnsi="Bookman Old Style"/>
          <w:sz w:val="22"/>
          <w:szCs w:val="22"/>
          <w:lang w:val="id-ID"/>
        </w:rPr>
        <w:t xml:space="preserve"> juga diikuti oleh penurunan suku bunga perbankan. Dibandingkan tahun sebelumnya, rerata tertimbang suku bunga kredit tercatat turun 11 bps menjadi 8,99 persen, utamanya didorong oleh penurunan suku bunga kredit produktif. </w:t>
      </w:r>
      <w:r w:rsidRPr="000E2171">
        <w:rPr>
          <w:rFonts w:ascii="Bookman Old Style" w:hAnsi="Bookman Old Style"/>
          <w:sz w:val="22"/>
          <w:szCs w:val="22"/>
          <w:lang w:val="it-IT"/>
        </w:rPr>
        <w:t xml:space="preserve">Dari sisi penghimpunan dana, rerata tertimbang suku bunga DPK juga mulai menurun dibandingkan bulan lalu. </w:t>
      </w:r>
    </w:p>
    <w:p w14:paraId="0A95570F" w14:textId="6B5AA0AF" w:rsidR="00DB5475" w:rsidRPr="007F541B" w:rsidRDefault="00DB5475" w:rsidP="00DB5475">
      <w:pPr>
        <w:spacing w:after="120" w:line="276" w:lineRule="auto"/>
        <w:jc w:val="both"/>
        <w:rPr>
          <w:rFonts w:ascii="Bookman Old Style" w:hAnsi="Bookman Old Style"/>
          <w:sz w:val="22"/>
          <w:szCs w:val="22"/>
          <w:lang w:val="id-ID"/>
        </w:rPr>
      </w:pPr>
      <w:r w:rsidRPr="007F541B">
        <w:rPr>
          <w:rFonts w:ascii="Bookman Old Style" w:hAnsi="Bookman Old Style"/>
          <w:sz w:val="22"/>
          <w:szCs w:val="22"/>
          <w:lang w:val="id-ID"/>
        </w:rPr>
        <w:t xml:space="preserve">Likuiditas industri perbankan pada </w:t>
      </w:r>
      <w:r w:rsidR="00E01A07" w:rsidRPr="007F541B">
        <w:rPr>
          <w:rFonts w:ascii="Bookman Old Style" w:hAnsi="Bookman Old Style"/>
          <w:sz w:val="22"/>
          <w:szCs w:val="22"/>
          <w:lang w:val="id-ID"/>
        </w:rPr>
        <w:t>Juni</w:t>
      </w:r>
      <w:r w:rsidRPr="007F541B">
        <w:rPr>
          <w:rFonts w:ascii="Bookman Old Style" w:hAnsi="Bookman Old Style"/>
          <w:sz w:val="22"/>
          <w:szCs w:val="22"/>
          <w:lang w:val="id-ID"/>
        </w:rPr>
        <w:t xml:space="preserve"> 2025 tetap memadai, dengan rasio Alat Likuid/</w:t>
      </w:r>
      <w:r w:rsidRPr="00D6168E">
        <w:rPr>
          <w:rFonts w:ascii="Bookman Old Style" w:hAnsi="Bookman Old Style"/>
          <w:i/>
          <w:sz w:val="22"/>
          <w:szCs w:val="22"/>
          <w:lang w:val="id-ID"/>
        </w:rPr>
        <w:t>Non-Core</w:t>
      </w:r>
      <w:r w:rsidRPr="007F541B">
        <w:rPr>
          <w:rFonts w:ascii="Bookman Old Style" w:hAnsi="Bookman Old Style"/>
          <w:sz w:val="22"/>
          <w:szCs w:val="22"/>
          <w:lang w:val="id-ID"/>
        </w:rPr>
        <w:t xml:space="preserve"> Deposit (AL/NCD) dan Alat Likuid/Dana Pihak Ketiga (AL/DPK) masing-masing 11</w:t>
      </w:r>
      <w:r w:rsidR="00E01A07" w:rsidRPr="007F541B">
        <w:rPr>
          <w:rFonts w:ascii="Bookman Old Style" w:hAnsi="Bookman Old Style"/>
          <w:sz w:val="22"/>
          <w:szCs w:val="22"/>
          <w:lang w:val="id-ID"/>
        </w:rPr>
        <w:t>8</w:t>
      </w:r>
      <w:r w:rsidRPr="007F541B">
        <w:rPr>
          <w:rFonts w:ascii="Bookman Old Style" w:hAnsi="Bookman Old Style"/>
          <w:sz w:val="22"/>
          <w:szCs w:val="22"/>
          <w:lang w:val="id-ID"/>
        </w:rPr>
        <w:t>,</w:t>
      </w:r>
      <w:r w:rsidR="00E01A07" w:rsidRPr="007F541B">
        <w:rPr>
          <w:rFonts w:ascii="Bookman Old Style" w:hAnsi="Bookman Old Style"/>
          <w:sz w:val="22"/>
          <w:szCs w:val="22"/>
          <w:lang w:val="id-ID"/>
        </w:rPr>
        <w:t>78</w:t>
      </w:r>
      <w:r w:rsidRPr="007F541B">
        <w:rPr>
          <w:rFonts w:ascii="Bookman Old Style" w:hAnsi="Bookman Old Style"/>
          <w:sz w:val="22"/>
          <w:szCs w:val="22"/>
          <w:lang w:val="id-ID"/>
        </w:rPr>
        <w:t xml:space="preserve"> persen (</w:t>
      </w:r>
      <w:r w:rsidR="00E01A07" w:rsidRPr="007F541B">
        <w:rPr>
          <w:rFonts w:ascii="Bookman Old Style" w:hAnsi="Bookman Old Style"/>
          <w:sz w:val="22"/>
          <w:szCs w:val="22"/>
          <w:lang w:val="id-ID"/>
        </w:rPr>
        <w:t>Mei</w:t>
      </w:r>
      <w:r w:rsidRPr="007F541B">
        <w:rPr>
          <w:rFonts w:ascii="Bookman Old Style" w:hAnsi="Bookman Old Style"/>
          <w:sz w:val="22"/>
          <w:szCs w:val="22"/>
          <w:lang w:val="id-ID"/>
        </w:rPr>
        <w:t xml:space="preserve"> 2025: 110,33 persen) dan 2</w:t>
      </w:r>
      <w:r w:rsidR="00D30C19" w:rsidRPr="007F541B">
        <w:rPr>
          <w:rFonts w:ascii="Bookman Old Style" w:hAnsi="Bookman Old Style"/>
          <w:sz w:val="22"/>
          <w:szCs w:val="22"/>
          <w:lang w:val="id-ID"/>
        </w:rPr>
        <w:t>7</w:t>
      </w:r>
      <w:r w:rsidRPr="007F541B">
        <w:rPr>
          <w:rFonts w:ascii="Bookman Old Style" w:hAnsi="Bookman Old Style"/>
          <w:sz w:val="22"/>
          <w:szCs w:val="22"/>
          <w:lang w:val="id-ID"/>
        </w:rPr>
        <w:t>,</w:t>
      </w:r>
      <w:r w:rsidR="00D30C19" w:rsidRPr="007F541B">
        <w:rPr>
          <w:rFonts w:ascii="Bookman Old Style" w:hAnsi="Bookman Old Style"/>
          <w:sz w:val="22"/>
          <w:szCs w:val="22"/>
          <w:lang w:val="id-ID"/>
        </w:rPr>
        <w:t>05</w:t>
      </w:r>
      <w:r w:rsidRPr="007F541B">
        <w:rPr>
          <w:rFonts w:ascii="Bookman Old Style" w:hAnsi="Bookman Old Style"/>
          <w:sz w:val="22"/>
          <w:szCs w:val="22"/>
          <w:lang w:val="id-ID"/>
        </w:rPr>
        <w:t xml:space="preserve"> persen (</w:t>
      </w:r>
      <w:r w:rsidR="00D30C19" w:rsidRPr="007F541B">
        <w:rPr>
          <w:rFonts w:ascii="Bookman Old Style" w:hAnsi="Bookman Old Style"/>
          <w:sz w:val="22"/>
          <w:szCs w:val="22"/>
          <w:lang w:val="id-ID"/>
        </w:rPr>
        <w:t>Mei</w:t>
      </w:r>
      <w:r w:rsidRPr="007F541B">
        <w:rPr>
          <w:rFonts w:ascii="Bookman Old Style" w:hAnsi="Bookman Old Style"/>
          <w:sz w:val="22"/>
          <w:szCs w:val="22"/>
          <w:lang w:val="id-ID"/>
        </w:rPr>
        <w:t xml:space="preserve"> 2025: 24,98 persen), masih di atas </w:t>
      </w:r>
      <w:r w:rsidRPr="007F541B">
        <w:rPr>
          <w:rFonts w:ascii="Bookman Old Style" w:hAnsi="Bookman Old Style"/>
          <w:i/>
          <w:sz w:val="22"/>
          <w:szCs w:val="22"/>
          <w:lang w:val="id-ID"/>
        </w:rPr>
        <w:t>threshold</w:t>
      </w:r>
      <w:r w:rsidRPr="007F541B">
        <w:rPr>
          <w:rFonts w:ascii="Bookman Old Style" w:hAnsi="Bookman Old Style"/>
          <w:sz w:val="22"/>
          <w:szCs w:val="22"/>
          <w:lang w:val="id-ID"/>
        </w:rPr>
        <w:t xml:space="preserve"> masing-masing 50 persen dan 10 persen. Adapun </w:t>
      </w:r>
      <w:r w:rsidRPr="007F541B">
        <w:rPr>
          <w:rFonts w:ascii="Bookman Old Style" w:hAnsi="Bookman Old Style"/>
          <w:i/>
          <w:sz w:val="22"/>
          <w:szCs w:val="22"/>
          <w:lang w:val="id-ID"/>
        </w:rPr>
        <w:t>Liquidity Coverage Ratio</w:t>
      </w:r>
      <w:r w:rsidRPr="007F541B">
        <w:rPr>
          <w:rFonts w:ascii="Bookman Old Style" w:hAnsi="Bookman Old Style"/>
          <w:sz w:val="22"/>
          <w:szCs w:val="22"/>
          <w:lang w:val="id-ID"/>
        </w:rPr>
        <w:t xml:space="preserve"> (LCR) berada di level 19</w:t>
      </w:r>
      <w:r w:rsidR="00D30C19" w:rsidRPr="007F541B">
        <w:rPr>
          <w:rFonts w:ascii="Bookman Old Style" w:hAnsi="Bookman Old Style"/>
          <w:sz w:val="22"/>
          <w:szCs w:val="22"/>
          <w:lang w:val="id-ID"/>
        </w:rPr>
        <w:t>9</w:t>
      </w:r>
      <w:r w:rsidRPr="007F541B">
        <w:rPr>
          <w:rFonts w:ascii="Bookman Old Style" w:hAnsi="Bookman Old Style"/>
          <w:sz w:val="22"/>
          <w:szCs w:val="22"/>
          <w:lang w:val="id-ID"/>
        </w:rPr>
        <w:t>,</w:t>
      </w:r>
      <w:r w:rsidR="00D30C19" w:rsidRPr="007F541B">
        <w:rPr>
          <w:rFonts w:ascii="Bookman Old Style" w:hAnsi="Bookman Old Style"/>
          <w:sz w:val="22"/>
          <w:szCs w:val="22"/>
          <w:lang w:val="id-ID"/>
        </w:rPr>
        <w:t>04</w:t>
      </w:r>
      <w:r w:rsidRPr="007F541B">
        <w:rPr>
          <w:rFonts w:ascii="Bookman Old Style" w:hAnsi="Bookman Old Style"/>
          <w:sz w:val="22"/>
          <w:szCs w:val="22"/>
          <w:lang w:val="id-ID"/>
        </w:rPr>
        <w:t xml:space="preserve"> persen.</w:t>
      </w:r>
    </w:p>
    <w:p w14:paraId="1E398B14" w14:textId="4C618BD0" w:rsidR="00DB5475" w:rsidRPr="007F541B" w:rsidRDefault="00DB5475" w:rsidP="00DB5475">
      <w:pPr>
        <w:spacing w:after="120" w:line="276" w:lineRule="auto"/>
        <w:jc w:val="both"/>
        <w:rPr>
          <w:rFonts w:ascii="Bookman Old Style" w:hAnsi="Bookman Old Style"/>
          <w:sz w:val="22"/>
          <w:szCs w:val="22"/>
          <w:lang w:val="id-ID"/>
        </w:rPr>
      </w:pPr>
      <w:r w:rsidRPr="007F541B">
        <w:rPr>
          <w:rFonts w:ascii="Bookman Old Style" w:hAnsi="Bookman Old Style"/>
          <w:sz w:val="22"/>
          <w:szCs w:val="22"/>
          <w:lang w:val="id-ID"/>
        </w:rPr>
        <w:t xml:space="preserve">Sementara itu, kualitas kredit tetap terjaga dengan rasio NPL </w:t>
      </w:r>
      <w:r w:rsidRPr="007F541B">
        <w:rPr>
          <w:rFonts w:ascii="Bookman Old Style" w:hAnsi="Bookman Old Style"/>
          <w:i/>
          <w:sz w:val="22"/>
          <w:szCs w:val="22"/>
          <w:lang w:val="id-ID"/>
        </w:rPr>
        <w:t>gross</w:t>
      </w:r>
      <w:r w:rsidRPr="007F541B">
        <w:rPr>
          <w:rFonts w:ascii="Bookman Old Style" w:hAnsi="Bookman Old Style"/>
          <w:sz w:val="22"/>
          <w:szCs w:val="22"/>
          <w:lang w:val="id-ID"/>
        </w:rPr>
        <w:t xml:space="preserve"> sebesar 2,2</w:t>
      </w:r>
      <w:r w:rsidR="00D30C19" w:rsidRPr="007F541B">
        <w:rPr>
          <w:rFonts w:ascii="Bookman Old Style" w:hAnsi="Bookman Old Style"/>
          <w:sz w:val="22"/>
          <w:szCs w:val="22"/>
          <w:lang w:val="id-ID"/>
        </w:rPr>
        <w:t>2</w:t>
      </w:r>
      <w:r w:rsidRPr="007F541B">
        <w:rPr>
          <w:rFonts w:ascii="Bookman Old Style" w:hAnsi="Bookman Old Style"/>
          <w:sz w:val="22"/>
          <w:szCs w:val="22"/>
          <w:lang w:val="id-ID"/>
        </w:rPr>
        <w:t xml:space="preserve"> persen (</w:t>
      </w:r>
      <w:r w:rsidR="00923FA0" w:rsidRPr="007F541B">
        <w:rPr>
          <w:rFonts w:ascii="Bookman Old Style" w:hAnsi="Bookman Old Style"/>
          <w:sz w:val="22"/>
          <w:szCs w:val="22"/>
          <w:lang w:val="id-ID"/>
        </w:rPr>
        <w:t>Mei</w:t>
      </w:r>
      <w:r w:rsidRPr="007F541B">
        <w:rPr>
          <w:rFonts w:ascii="Bookman Old Style" w:hAnsi="Bookman Old Style"/>
          <w:sz w:val="22"/>
          <w:szCs w:val="22"/>
          <w:lang w:val="id-ID"/>
        </w:rPr>
        <w:t xml:space="preserve"> 2025: 2,2</w:t>
      </w:r>
      <w:r w:rsidR="00923FA0" w:rsidRPr="007F541B">
        <w:rPr>
          <w:rFonts w:ascii="Bookman Old Style" w:hAnsi="Bookman Old Style"/>
          <w:sz w:val="22"/>
          <w:szCs w:val="22"/>
          <w:lang w:val="id-ID"/>
        </w:rPr>
        <w:t>9</w:t>
      </w:r>
      <w:r w:rsidRPr="007F541B">
        <w:rPr>
          <w:rFonts w:ascii="Bookman Old Style" w:hAnsi="Bookman Old Style"/>
          <w:sz w:val="22"/>
          <w:szCs w:val="22"/>
          <w:lang w:val="id-ID"/>
        </w:rPr>
        <w:t xml:space="preserve"> persen) dan NPL net 0,8</w:t>
      </w:r>
      <w:r w:rsidR="00923FA0" w:rsidRPr="007F541B">
        <w:rPr>
          <w:rFonts w:ascii="Bookman Old Style" w:hAnsi="Bookman Old Style"/>
          <w:sz w:val="22"/>
          <w:szCs w:val="22"/>
          <w:lang w:val="id-ID"/>
        </w:rPr>
        <w:t>4</w:t>
      </w:r>
      <w:r w:rsidRPr="007F541B">
        <w:rPr>
          <w:rFonts w:ascii="Bookman Old Style" w:hAnsi="Bookman Old Style"/>
          <w:sz w:val="22"/>
          <w:szCs w:val="22"/>
          <w:lang w:val="id-ID"/>
        </w:rPr>
        <w:t xml:space="preserve"> persen (</w:t>
      </w:r>
      <w:r w:rsidR="00923FA0" w:rsidRPr="007F541B">
        <w:rPr>
          <w:rFonts w:ascii="Bookman Old Style" w:hAnsi="Bookman Old Style"/>
          <w:sz w:val="22"/>
          <w:szCs w:val="22"/>
          <w:lang w:val="id-ID"/>
        </w:rPr>
        <w:t>Mei</w:t>
      </w:r>
      <w:r w:rsidRPr="007F541B">
        <w:rPr>
          <w:rFonts w:ascii="Bookman Old Style" w:hAnsi="Bookman Old Style"/>
          <w:sz w:val="22"/>
          <w:szCs w:val="22"/>
          <w:lang w:val="id-ID"/>
        </w:rPr>
        <w:t xml:space="preserve"> 2025: 0,8</w:t>
      </w:r>
      <w:r w:rsidR="00923FA0" w:rsidRPr="007F541B">
        <w:rPr>
          <w:rFonts w:ascii="Bookman Old Style" w:hAnsi="Bookman Old Style"/>
          <w:sz w:val="22"/>
          <w:szCs w:val="22"/>
          <w:lang w:val="id-ID"/>
        </w:rPr>
        <w:t>5</w:t>
      </w:r>
      <w:r w:rsidRPr="007F541B">
        <w:rPr>
          <w:rFonts w:ascii="Bookman Old Style" w:hAnsi="Bookman Old Style"/>
          <w:sz w:val="22"/>
          <w:szCs w:val="22"/>
          <w:lang w:val="id-ID"/>
        </w:rPr>
        <w:t xml:space="preserve"> persen). </w:t>
      </w:r>
      <w:r w:rsidRPr="007F541B">
        <w:rPr>
          <w:rFonts w:ascii="Bookman Old Style" w:hAnsi="Bookman Old Style"/>
          <w:i/>
          <w:sz w:val="22"/>
          <w:szCs w:val="22"/>
          <w:lang w:val="id-ID"/>
        </w:rPr>
        <w:t>Loan at Risk</w:t>
      </w:r>
      <w:r w:rsidRPr="007F541B">
        <w:rPr>
          <w:rFonts w:ascii="Bookman Old Style" w:hAnsi="Bookman Old Style"/>
          <w:sz w:val="22"/>
          <w:szCs w:val="22"/>
          <w:lang w:val="id-ID"/>
        </w:rPr>
        <w:t xml:space="preserve"> (LaR) </w:t>
      </w:r>
      <w:r w:rsidR="00D74CC2" w:rsidRPr="007F541B">
        <w:rPr>
          <w:rFonts w:ascii="Bookman Old Style" w:hAnsi="Bookman Old Style"/>
          <w:sz w:val="22"/>
          <w:szCs w:val="22"/>
          <w:lang w:val="id-ID"/>
        </w:rPr>
        <w:t>menurun</w:t>
      </w:r>
      <w:r w:rsidRPr="007F541B">
        <w:rPr>
          <w:rFonts w:ascii="Bookman Old Style" w:hAnsi="Bookman Old Style"/>
          <w:sz w:val="22"/>
          <w:szCs w:val="22"/>
          <w:lang w:val="id-ID"/>
        </w:rPr>
        <w:t>, tercatat 9,</w:t>
      </w:r>
      <w:r w:rsidR="00D74CC2" w:rsidRPr="007F541B">
        <w:rPr>
          <w:rFonts w:ascii="Bookman Old Style" w:hAnsi="Bookman Old Style"/>
          <w:sz w:val="22"/>
          <w:szCs w:val="22"/>
          <w:lang w:val="id-ID"/>
        </w:rPr>
        <w:t>7</w:t>
      </w:r>
      <w:r w:rsidRPr="007F541B">
        <w:rPr>
          <w:rFonts w:ascii="Bookman Old Style" w:hAnsi="Bookman Old Style"/>
          <w:sz w:val="22"/>
          <w:szCs w:val="22"/>
          <w:lang w:val="id-ID"/>
        </w:rPr>
        <w:t>3 persen (</w:t>
      </w:r>
      <w:r w:rsidR="00923FA0" w:rsidRPr="007F541B">
        <w:rPr>
          <w:rFonts w:ascii="Bookman Old Style" w:hAnsi="Bookman Old Style"/>
          <w:sz w:val="22"/>
          <w:szCs w:val="22"/>
          <w:lang w:val="id-ID"/>
        </w:rPr>
        <w:t>Mei</w:t>
      </w:r>
      <w:r w:rsidRPr="007F541B">
        <w:rPr>
          <w:rFonts w:ascii="Bookman Old Style" w:hAnsi="Bookman Old Style"/>
          <w:sz w:val="22"/>
          <w:szCs w:val="22"/>
          <w:lang w:val="id-ID"/>
        </w:rPr>
        <w:t xml:space="preserve"> 2025: 9,9</w:t>
      </w:r>
      <w:r w:rsidR="00923FA0" w:rsidRPr="007F541B">
        <w:rPr>
          <w:rFonts w:ascii="Bookman Old Style" w:hAnsi="Bookman Old Style"/>
          <w:sz w:val="22"/>
          <w:szCs w:val="22"/>
          <w:lang w:val="id-ID"/>
        </w:rPr>
        <w:t>3</w:t>
      </w:r>
      <w:r w:rsidRPr="007F541B">
        <w:rPr>
          <w:rFonts w:ascii="Bookman Old Style" w:hAnsi="Bookman Old Style"/>
          <w:sz w:val="22"/>
          <w:szCs w:val="22"/>
          <w:lang w:val="id-ID"/>
        </w:rPr>
        <w:t xml:space="preserve"> persen). Rasio LaR tercatat stabil seperti</w:t>
      </w:r>
      <w:r w:rsidR="00205092">
        <w:rPr>
          <w:rFonts w:ascii="Bookman Old Style" w:hAnsi="Bookman Old Style"/>
          <w:sz w:val="22"/>
          <w:szCs w:val="22"/>
          <w:lang w:val="id-ID"/>
        </w:rPr>
        <w:t xml:space="preserve"> </w:t>
      </w:r>
      <w:r w:rsidRPr="007F541B">
        <w:rPr>
          <w:rFonts w:ascii="Bookman Old Style" w:hAnsi="Bookman Old Style"/>
          <w:sz w:val="22"/>
          <w:szCs w:val="22"/>
          <w:lang w:val="id-ID"/>
        </w:rPr>
        <w:t>di level sebelum pandemi.</w:t>
      </w:r>
    </w:p>
    <w:p w14:paraId="209953B0" w14:textId="29C96601" w:rsidR="00DB5475" w:rsidRPr="007F541B" w:rsidRDefault="00DB5475" w:rsidP="00DB5475">
      <w:pPr>
        <w:spacing w:after="120" w:line="276" w:lineRule="auto"/>
        <w:jc w:val="both"/>
        <w:rPr>
          <w:rFonts w:ascii="Bookman Old Style" w:hAnsi="Bookman Old Style"/>
          <w:sz w:val="22"/>
          <w:szCs w:val="22"/>
          <w:lang w:val="id-ID"/>
        </w:rPr>
      </w:pPr>
      <w:r w:rsidRPr="007F541B">
        <w:rPr>
          <w:rFonts w:ascii="Bookman Old Style" w:hAnsi="Bookman Old Style"/>
          <w:sz w:val="22"/>
          <w:szCs w:val="22"/>
          <w:lang w:val="id-ID"/>
        </w:rPr>
        <w:t>Ketahanan perbankan juga tetap kuat tercermin dari permodalan (CAR) yang berada di level tinggi sebesar 25,</w:t>
      </w:r>
      <w:r w:rsidR="00D74CC2" w:rsidRPr="007F541B">
        <w:rPr>
          <w:rFonts w:ascii="Bookman Old Style" w:hAnsi="Bookman Old Style"/>
          <w:sz w:val="22"/>
          <w:szCs w:val="22"/>
          <w:lang w:val="id-ID"/>
        </w:rPr>
        <w:t>8</w:t>
      </w:r>
      <w:r w:rsidRPr="007F541B">
        <w:rPr>
          <w:rFonts w:ascii="Bookman Old Style" w:hAnsi="Bookman Old Style"/>
          <w:sz w:val="22"/>
          <w:szCs w:val="22"/>
          <w:lang w:val="id-ID"/>
        </w:rPr>
        <w:t>1 persen (</w:t>
      </w:r>
      <w:r w:rsidR="00D74CC2" w:rsidRPr="007F541B">
        <w:rPr>
          <w:rFonts w:ascii="Bookman Old Style" w:hAnsi="Bookman Old Style"/>
          <w:sz w:val="22"/>
          <w:szCs w:val="22"/>
          <w:lang w:val="id-ID"/>
        </w:rPr>
        <w:t>Mei</w:t>
      </w:r>
      <w:r w:rsidRPr="007F541B">
        <w:rPr>
          <w:rFonts w:ascii="Bookman Old Style" w:hAnsi="Bookman Old Style"/>
          <w:sz w:val="22"/>
          <w:szCs w:val="22"/>
          <w:lang w:val="id-ID"/>
        </w:rPr>
        <w:t xml:space="preserve"> 2025: 25,</w:t>
      </w:r>
      <w:r w:rsidR="00135F8B">
        <w:rPr>
          <w:rFonts w:ascii="Bookman Old Style" w:hAnsi="Bookman Old Style"/>
          <w:sz w:val="22"/>
          <w:szCs w:val="22"/>
          <w:lang w:val="id-ID"/>
        </w:rPr>
        <w:t>48</w:t>
      </w:r>
      <w:r w:rsidRPr="007F541B">
        <w:rPr>
          <w:rFonts w:ascii="Bookman Old Style" w:hAnsi="Bookman Old Style"/>
          <w:sz w:val="22"/>
          <w:szCs w:val="22"/>
          <w:lang w:val="id-ID"/>
        </w:rPr>
        <w:t xml:space="preserve"> persen), menjadi bantalan mitigasi risiko yang kuat </w:t>
      </w:r>
      <w:r w:rsidR="00D55AB9" w:rsidRPr="00D55AB9">
        <w:rPr>
          <w:rFonts w:ascii="Bookman Old Style" w:hAnsi="Bookman Old Style"/>
          <w:sz w:val="22"/>
          <w:szCs w:val="22"/>
          <w:lang w:val="id-ID"/>
        </w:rPr>
        <w:t>untuk mengantisipasi kondisi ketidakpastian global</w:t>
      </w:r>
      <w:r w:rsidRPr="007F541B">
        <w:rPr>
          <w:rFonts w:ascii="Bookman Old Style" w:hAnsi="Bookman Old Style"/>
          <w:sz w:val="22"/>
          <w:szCs w:val="22"/>
          <w:lang w:val="id-ID"/>
        </w:rPr>
        <w:t xml:space="preserve">. </w:t>
      </w:r>
    </w:p>
    <w:p w14:paraId="352C3D1D" w14:textId="1395B829" w:rsidR="00DB5475" w:rsidRPr="007F541B" w:rsidRDefault="00EE352F" w:rsidP="00DB5475">
      <w:pPr>
        <w:spacing w:after="120" w:line="276" w:lineRule="auto"/>
        <w:jc w:val="both"/>
        <w:rPr>
          <w:rFonts w:ascii="Bookman Old Style" w:hAnsi="Bookman Old Style"/>
          <w:sz w:val="22"/>
          <w:szCs w:val="22"/>
          <w:highlight w:val="yellow"/>
          <w:lang w:val="id-ID"/>
        </w:rPr>
      </w:pPr>
      <w:r w:rsidRPr="000E2171">
        <w:rPr>
          <w:rFonts w:ascii="Bookman Old Style" w:hAnsi="Bookman Old Style"/>
          <w:sz w:val="22"/>
          <w:szCs w:val="22"/>
          <w:lang w:val="id-ID"/>
        </w:rPr>
        <w:t>Selanjutnya,</w:t>
      </w:r>
      <w:r w:rsidRPr="00FD0CAA">
        <w:rPr>
          <w:rFonts w:ascii="Bookman Old Style" w:hAnsi="Bookman Old Style"/>
          <w:sz w:val="22"/>
          <w:szCs w:val="22"/>
          <w:lang w:val="id-ID"/>
        </w:rPr>
        <w:t xml:space="preserve"> </w:t>
      </w:r>
      <w:r w:rsidR="00DB5475" w:rsidRPr="007F541B">
        <w:rPr>
          <w:rFonts w:ascii="Bookman Old Style" w:hAnsi="Bookman Old Style"/>
          <w:sz w:val="22"/>
          <w:szCs w:val="22"/>
          <w:lang w:val="id-ID"/>
        </w:rPr>
        <w:t xml:space="preserve">porsi kredit </w:t>
      </w:r>
      <w:r w:rsidR="00DB5475" w:rsidRPr="007F541B">
        <w:rPr>
          <w:rFonts w:ascii="Bookman Old Style" w:hAnsi="Bookman Old Style"/>
          <w:i/>
          <w:sz w:val="22"/>
          <w:szCs w:val="22"/>
          <w:lang w:val="id-ID"/>
        </w:rPr>
        <w:t>Buy Now Pay Later</w:t>
      </w:r>
      <w:r w:rsidR="00DB5475" w:rsidRPr="007F541B">
        <w:rPr>
          <w:rFonts w:ascii="Bookman Old Style" w:hAnsi="Bookman Old Style"/>
          <w:sz w:val="22"/>
          <w:szCs w:val="22"/>
          <w:lang w:val="id-ID"/>
        </w:rPr>
        <w:t xml:space="preserve"> (BNPL) perbankan tercatat sebesar 0,2</w:t>
      </w:r>
      <w:r>
        <w:rPr>
          <w:rFonts w:ascii="Bookman Old Style" w:hAnsi="Bookman Old Style"/>
          <w:sz w:val="22"/>
          <w:szCs w:val="22"/>
          <w:lang w:val="id-ID"/>
        </w:rPr>
        <w:t>9</w:t>
      </w:r>
      <w:r w:rsidR="00DB5475" w:rsidRPr="007F541B">
        <w:rPr>
          <w:rFonts w:ascii="Bookman Old Style" w:hAnsi="Bookman Old Style"/>
          <w:sz w:val="22"/>
          <w:szCs w:val="22"/>
          <w:lang w:val="id-ID"/>
        </w:rPr>
        <w:t xml:space="preserve"> persen dari total kredit perbankan </w:t>
      </w:r>
      <w:r>
        <w:rPr>
          <w:rFonts w:ascii="Bookman Old Style" w:hAnsi="Bookman Old Style"/>
          <w:sz w:val="22"/>
          <w:szCs w:val="22"/>
          <w:lang w:val="id-ID"/>
        </w:rPr>
        <w:t>dan</w:t>
      </w:r>
      <w:r w:rsidR="00DB5475" w:rsidRPr="007F541B">
        <w:rPr>
          <w:rFonts w:ascii="Bookman Old Style" w:hAnsi="Bookman Old Style"/>
          <w:sz w:val="22"/>
          <w:szCs w:val="22"/>
          <w:lang w:val="id-ID"/>
        </w:rPr>
        <w:t xml:space="preserve"> terus mencatatkan pertumbuhan yang tinggi secara tahunan.</w:t>
      </w:r>
      <w:r w:rsidR="00DB5475" w:rsidRPr="00D6168E">
        <w:rPr>
          <w:rFonts w:ascii="Bookman Old Style" w:hAnsi="Bookman Old Style"/>
          <w:lang w:val="id-ID"/>
        </w:rPr>
        <w:t xml:space="preserve"> </w:t>
      </w:r>
      <w:r w:rsidR="00DB5475" w:rsidRPr="007F541B">
        <w:rPr>
          <w:rFonts w:ascii="Bookman Old Style" w:hAnsi="Bookman Old Style"/>
          <w:sz w:val="22"/>
          <w:szCs w:val="22"/>
          <w:lang w:val="id-ID"/>
        </w:rPr>
        <w:t xml:space="preserve">Per </w:t>
      </w:r>
      <w:r w:rsidR="005361F8" w:rsidRPr="007F541B">
        <w:rPr>
          <w:rFonts w:ascii="Bookman Old Style" w:hAnsi="Bookman Old Style"/>
          <w:sz w:val="22"/>
          <w:szCs w:val="22"/>
          <w:lang w:val="id-ID"/>
        </w:rPr>
        <w:t>Juni</w:t>
      </w:r>
      <w:r w:rsidR="00DB5475" w:rsidRPr="007F541B">
        <w:rPr>
          <w:rFonts w:ascii="Bookman Old Style" w:hAnsi="Bookman Old Style"/>
          <w:sz w:val="22"/>
          <w:szCs w:val="22"/>
          <w:lang w:val="id-ID"/>
        </w:rPr>
        <w:t xml:space="preserve"> 2025, baki debet kredit BNPL sebagaimana dilaporkan dalam SLIK, tumbuh </w:t>
      </w:r>
      <w:r w:rsidR="005361F8" w:rsidRPr="007F541B">
        <w:rPr>
          <w:rFonts w:ascii="Bookman Old Style" w:hAnsi="Bookman Old Style"/>
          <w:sz w:val="22"/>
          <w:szCs w:val="22"/>
          <w:lang w:val="id-ID"/>
        </w:rPr>
        <w:t>29,75</w:t>
      </w:r>
      <w:r w:rsidR="00DB5475" w:rsidRPr="007F541B">
        <w:rPr>
          <w:rFonts w:ascii="Bookman Old Style" w:hAnsi="Bookman Old Style"/>
          <w:sz w:val="22"/>
          <w:szCs w:val="22"/>
          <w:lang w:val="id-ID"/>
        </w:rPr>
        <w:t xml:space="preserve"> persen </w:t>
      </w:r>
      <w:r w:rsidR="00DB5475" w:rsidRPr="000E2171">
        <w:rPr>
          <w:rFonts w:ascii="Bookman Old Style" w:hAnsi="Bookman Old Style"/>
          <w:i/>
          <w:iCs/>
          <w:sz w:val="22"/>
          <w:szCs w:val="22"/>
          <w:lang w:val="id-ID"/>
        </w:rPr>
        <w:t>yoy</w:t>
      </w:r>
      <w:r w:rsidR="00DB5475" w:rsidRPr="007F541B">
        <w:rPr>
          <w:rFonts w:ascii="Bookman Old Style" w:hAnsi="Bookman Old Style"/>
          <w:sz w:val="22"/>
          <w:szCs w:val="22"/>
          <w:lang w:val="id-ID"/>
        </w:rPr>
        <w:t xml:space="preserve"> (</w:t>
      </w:r>
      <w:r w:rsidR="005361F8" w:rsidRPr="007F541B">
        <w:rPr>
          <w:rFonts w:ascii="Bookman Old Style" w:hAnsi="Bookman Old Style"/>
          <w:sz w:val="22"/>
          <w:szCs w:val="22"/>
          <w:lang w:val="id-ID"/>
        </w:rPr>
        <w:t>Mei</w:t>
      </w:r>
      <w:r w:rsidR="00DB5475" w:rsidRPr="007F541B">
        <w:rPr>
          <w:rFonts w:ascii="Bookman Old Style" w:hAnsi="Bookman Old Style"/>
          <w:sz w:val="22"/>
          <w:szCs w:val="22"/>
          <w:lang w:val="id-ID"/>
        </w:rPr>
        <w:t xml:space="preserve"> 2025: </w:t>
      </w:r>
      <w:r w:rsidR="002D195B">
        <w:rPr>
          <w:rFonts w:ascii="Bookman Old Style" w:hAnsi="Bookman Old Style"/>
          <w:sz w:val="22"/>
          <w:szCs w:val="22"/>
          <w:lang w:val="id-ID"/>
        </w:rPr>
        <w:t>25,41</w:t>
      </w:r>
      <w:r w:rsidR="00DB5475" w:rsidRPr="007F541B">
        <w:rPr>
          <w:rFonts w:ascii="Bookman Old Style" w:hAnsi="Bookman Old Style"/>
          <w:sz w:val="22"/>
          <w:szCs w:val="22"/>
          <w:lang w:val="id-ID"/>
        </w:rPr>
        <w:t xml:space="preserve"> persen </w:t>
      </w:r>
      <w:r w:rsidR="00DB5475" w:rsidRPr="000E2171">
        <w:rPr>
          <w:rFonts w:ascii="Bookman Old Style" w:hAnsi="Bookman Old Style"/>
          <w:i/>
          <w:iCs/>
          <w:sz w:val="22"/>
          <w:szCs w:val="22"/>
          <w:lang w:val="id-ID"/>
        </w:rPr>
        <w:t>yoy</w:t>
      </w:r>
      <w:r w:rsidR="00DB5475" w:rsidRPr="007F541B">
        <w:rPr>
          <w:rFonts w:ascii="Bookman Old Style" w:hAnsi="Bookman Old Style"/>
          <w:sz w:val="22"/>
          <w:szCs w:val="22"/>
          <w:lang w:val="id-ID"/>
        </w:rPr>
        <w:t xml:space="preserve">) menjadi </w:t>
      </w:r>
      <w:r w:rsidR="005361F8" w:rsidRPr="007F541B">
        <w:rPr>
          <w:rFonts w:ascii="Bookman Old Style" w:hAnsi="Bookman Old Style"/>
          <w:sz w:val="22"/>
          <w:szCs w:val="22"/>
          <w:lang w:val="id-ID"/>
        </w:rPr>
        <w:t>Rp22,99</w:t>
      </w:r>
      <w:r w:rsidR="00DB5475" w:rsidRPr="007F541B">
        <w:rPr>
          <w:rFonts w:ascii="Bookman Old Style" w:hAnsi="Bookman Old Style"/>
          <w:sz w:val="22"/>
          <w:szCs w:val="22"/>
          <w:lang w:val="id-ID"/>
        </w:rPr>
        <w:t xml:space="preserve"> triliun, dengan jumlah rekening mencapai </w:t>
      </w:r>
      <w:r w:rsidR="005361F8" w:rsidRPr="007F541B">
        <w:rPr>
          <w:rFonts w:ascii="Bookman Old Style" w:hAnsi="Bookman Old Style"/>
          <w:sz w:val="22"/>
          <w:szCs w:val="22"/>
          <w:lang w:val="id-ID"/>
        </w:rPr>
        <w:t>26,96</w:t>
      </w:r>
      <w:r w:rsidR="00DB5475" w:rsidRPr="007F541B">
        <w:rPr>
          <w:rFonts w:ascii="Bookman Old Style" w:hAnsi="Bookman Old Style"/>
          <w:sz w:val="22"/>
          <w:szCs w:val="22"/>
          <w:lang w:val="id-ID"/>
        </w:rPr>
        <w:t xml:space="preserve"> juta (</w:t>
      </w:r>
      <w:r w:rsidR="005361F8" w:rsidRPr="007F541B">
        <w:rPr>
          <w:rFonts w:ascii="Bookman Old Style" w:hAnsi="Bookman Old Style"/>
          <w:sz w:val="22"/>
          <w:szCs w:val="22"/>
          <w:lang w:val="id-ID"/>
        </w:rPr>
        <w:t>Mei</w:t>
      </w:r>
      <w:r w:rsidR="00DB5475" w:rsidRPr="007F541B">
        <w:rPr>
          <w:rFonts w:ascii="Bookman Old Style" w:hAnsi="Bookman Old Style"/>
          <w:sz w:val="22"/>
          <w:szCs w:val="22"/>
          <w:lang w:val="id-ID"/>
        </w:rPr>
        <w:t xml:space="preserve"> 2025: 24,</w:t>
      </w:r>
      <w:r w:rsidR="005361F8" w:rsidRPr="007F541B">
        <w:rPr>
          <w:rFonts w:ascii="Bookman Old Style" w:hAnsi="Bookman Old Style"/>
          <w:sz w:val="22"/>
          <w:szCs w:val="22"/>
          <w:lang w:val="id-ID"/>
        </w:rPr>
        <w:t>79</w:t>
      </w:r>
      <w:r w:rsidR="00DB5475" w:rsidRPr="007F541B">
        <w:rPr>
          <w:rFonts w:ascii="Bookman Old Style" w:hAnsi="Bookman Old Style"/>
          <w:sz w:val="22"/>
          <w:szCs w:val="22"/>
          <w:lang w:val="id-ID"/>
        </w:rPr>
        <w:t xml:space="preserve"> juta).</w:t>
      </w:r>
    </w:p>
    <w:p w14:paraId="785E61F1" w14:textId="77777777" w:rsidR="00A428BB" w:rsidRPr="000E2171" w:rsidRDefault="00CB3C08" w:rsidP="00671F28">
      <w:pPr>
        <w:tabs>
          <w:tab w:val="left" w:pos="720"/>
        </w:tabs>
        <w:spacing w:after="120" w:line="276" w:lineRule="auto"/>
        <w:jc w:val="both"/>
        <w:rPr>
          <w:rFonts w:ascii="Bookman Old Style" w:hAnsi="Bookman Old Style"/>
          <w:sz w:val="22"/>
          <w:szCs w:val="22"/>
          <w:lang w:val="id-ID"/>
        </w:rPr>
      </w:pPr>
      <w:r w:rsidRPr="000E2171">
        <w:rPr>
          <w:rFonts w:ascii="Bookman Old Style" w:hAnsi="Bookman Old Style"/>
          <w:sz w:val="22"/>
          <w:szCs w:val="22"/>
          <w:lang w:val="id-ID"/>
        </w:rPr>
        <w:t xml:space="preserve">Optimisme terhadap perekonomian Indonesia dan kondisi perbankan ke depan juga didukung oleh kesepakatan tarif impor AS terhadap produk Indonesia, penurunan BI </w:t>
      </w:r>
      <w:r w:rsidRPr="000E2171">
        <w:rPr>
          <w:rFonts w:ascii="Bookman Old Style" w:hAnsi="Bookman Old Style"/>
          <w:i/>
          <w:sz w:val="22"/>
          <w:szCs w:val="22"/>
          <w:lang w:val="id-ID"/>
        </w:rPr>
        <w:t>Rate</w:t>
      </w:r>
      <w:r w:rsidRPr="000E2171">
        <w:rPr>
          <w:rFonts w:ascii="Bookman Old Style" w:hAnsi="Bookman Old Style"/>
          <w:sz w:val="22"/>
          <w:szCs w:val="22"/>
          <w:lang w:val="id-ID"/>
        </w:rPr>
        <w:t xml:space="preserve">, percepatan belanja pemerintah, serta beberapa program pemerintah yang diyakini akan mendorong penyaluran kredit, menjaga stabilitas pangan, dan membantu daya beli masyarakat. </w:t>
      </w:r>
    </w:p>
    <w:p w14:paraId="3054E04D" w14:textId="53297445" w:rsidR="00CB3C08" w:rsidRDefault="00CB3C08" w:rsidP="00671F28">
      <w:pPr>
        <w:tabs>
          <w:tab w:val="left" w:pos="720"/>
        </w:tabs>
        <w:spacing w:after="120" w:line="276" w:lineRule="auto"/>
        <w:jc w:val="both"/>
        <w:rPr>
          <w:rFonts w:ascii="Bookman Old Style" w:hAnsi="Bookman Old Style"/>
          <w:sz w:val="22"/>
          <w:szCs w:val="22"/>
          <w:lang w:val="id-ID"/>
        </w:rPr>
      </w:pPr>
      <w:r w:rsidRPr="000E2171">
        <w:rPr>
          <w:rFonts w:ascii="Bookman Old Style" w:hAnsi="Bookman Old Style"/>
          <w:sz w:val="22"/>
          <w:szCs w:val="22"/>
          <w:lang w:val="id-ID"/>
        </w:rPr>
        <w:t xml:space="preserve">Pelaksanaan beberapa program pemerintah yang </w:t>
      </w:r>
      <w:r w:rsidR="008102A1" w:rsidRPr="000E2171">
        <w:rPr>
          <w:rFonts w:ascii="Bookman Old Style" w:hAnsi="Bookman Old Style"/>
          <w:sz w:val="22"/>
          <w:szCs w:val="22"/>
          <w:lang w:val="id-ID"/>
        </w:rPr>
        <w:t>telah</w:t>
      </w:r>
      <w:r w:rsidRPr="000E2171">
        <w:rPr>
          <w:rFonts w:ascii="Bookman Old Style" w:hAnsi="Bookman Old Style"/>
          <w:sz w:val="22"/>
          <w:szCs w:val="22"/>
          <w:lang w:val="id-ID"/>
        </w:rPr>
        <w:t xml:space="preserve"> dicanangkan antara lain program Koperasi Merah Putih (KMP) yang didukung oleh dana pemerintah, tiga juta perumahan, serta Makan Bergizi Gratis (MBG), dapat dimanfaatkan oleh bank sebagai kesempatan pengembangan usaha termasuk dalam rangka pertumbuhan kredit/pembiayaan.</w:t>
      </w:r>
    </w:p>
    <w:p w14:paraId="1611027F" w14:textId="6EBC5A6E" w:rsidR="003635BB" w:rsidRPr="00D6168E" w:rsidRDefault="003635BB" w:rsidP="00671F28">
      <w:pPr>
        <w:tabs>
          <w:tab w:val="left" w:pos="720"/>
        </w:tabs>
        <w:spacing w:after="120" w:line="276" w:lineRule="auto"/>
        <w:jc w:val="both"/>
        <w:rPr>
          <w:rFonts w:ascii="Bookman Old Style" w:hAnsi="Bookman Old Style"/>
          <w:sz w:val="22"/>
          <w:szCs w:val="22"/>
          <w:lang w:val="id-ID"/>
        </w:rPr>
      </w:pPr>
      <w:r w:rsidRPr="007F541B">
        <w:rPr>
          <w:rFonts w:ascii="Bookman Old Style" w:hAnsi="Bookman Old Style"/>
          <w:sz w:val="22"/>
          <w:szCs w:val="22"/>
          <w:lang w:val="id-ID"/>
        </w:rPr>
        <w:t>Dalam rangka penegakan ketentuan dan pelindungan konsumen di bidang Perbankan</w:t>
      </w:r>
      <w:r w:rsidR="00024789" w:rsidRPr="007F541B">
        <w:rPr>
          <w:rFonts w:ascii="Bookman Old Style" w:hAnsi="Bookman Old Style"/>
          <w:sz w:val="22"/>
          <w:szCs w:val="22"/>
          <w:lang w:val="id-ID"/>
        </w:rPr>
        <w:t>,</w:t>
      </w:r>
      <w:r w:rsidRPr="007F541B">
        <w:rPr>
          <w:rFonts w:ascii="Bookman Old Style" w:hAnsi="Bookman Old Style"/>
          <w:sz w:val="22"/>
          <w:szCs w:val="22"/>
          <w:lang w:val="id-ID"/>
        </w:rPr>
        <w:t xml:space="preserve"> OJK telah melakukan pencabutan Izin Usaha PT BPR Dwicahaya Nusantara</w:t>
      </w:r>
      <w:r w:rsidRPr="00D6168E">
        <w:rPr>
          <w:rFonts w:ascii="Bookman Old Style" w:hAnsi="Bookman Old Style"/>
          <w:sz w:val="22"/>
          <w:szCs w:val="22"/>
          <w:lang w:val="id-ID"/>
        </w:rPr>
        <w:t xml:space="preserve"> di kota Batu, Jawa Timur,</w:t>
      </w:r>
      <w:r w:rsidRPr="007F541B">
        <w:rPr>
          <w:rFonts w:ascii="Bookman Old Style" w:hAnsi="Bookman Old Style"/>
          <w:sz w:val="22"/>
          <w:szCs w:val="22"/>
          <w:lang w:val="id-ID"/>
        </w:rPr>
        <w:t xml:space="preserve"> pada 24 Juli 2025</w:t>
      </w:r>
      <w:r w:rsidRPr="00D6168E">
        <w:rPr>
          <w:rFonts w:ascii="Bookman Old Style" w:hAnsi="Bookman Old Style"/>
          <w:sz w:val="22"/>
          <w:szCs w:val="22"/>
          <w:lang w:val="id-ID"/>
        </w:rPr>
        <w:t xml:space="preserve"> karena pelanggaran tata </w:t>
      </w:r>
      <w:r w:rsidR="00C050E6">
        <w:rPr>
          <w:rFonts w:ascii="Bookman Old Style" w:hAnsi="Bookman Old Style"/>
          <w:sz w:val="22"/>
          <w:szCs w:val="22"/>
          <w:lang w:val="id-ID"/>
        </w:rPr>
        <w:t>k</w:t>
      </w:r>
      <w:r w:rsidR="00C050E6" w:rsidRPr="00D6168E">
        <w:rPr>
          <w:rFonts w:ascii="Bookman Old Style" w:hAnsi="Bookman Old Style"/>
          <w:sz w:val="22"/>
          <w:szCs w:val="22"/>
          <w:lang w:val="id-ID"/>
        </w:rPr>
        <w:t xml:space="preserve">elola </w:t>
      </w:r>
      <w:r w:rsidRPr="00D6168E">
        <w:rPr>
          <w:rFonts w:ascii="Bookman Old Style" w:hAnsi="Bookman Old Style"/>
          <w:sz w:val="22"/>
          <w:szCs w:val="22"/>
          <w:lang w:val="id-ID"/>
        </w:rPr>
        <w:t>dan pemenuhan modal inti minimum.</w:t>
      </w:r>
    </w:p>
    <w:p w14:paraId="7D314185" w14:textId="57941905" w:rsidR="00DB5475" w:rsidRPr="007F541B" w:rsidRDefault="00DB5475" w:rsidP="00671F28">
      <w:pPr>
        <w:spacing w:after="120" w:line="276" w:lineRule="auto"/>
        <w:jc w:val="both"/>
        <w:rPr>
          <w:rFonts w:ascii="Bookman Old Style" w:hAnsi="Bookman Old Style"/>
          <w:sz w:val="22"/>
          <w:szCs w:val="22"/>
          <w:lang w:val="id-ID"/>
        </w:rPr>
      </w:pPr>
      <w:r w:rsidRPr="007F541B">
        <w:rPr>
          <w:rFonts w:ascii="Bookman Old Style" w:hAnsi="Bookman Old Style"/>
          <w:sz w:val="22"/>
          <w:szCs w:val="22"/>
          <w:lang w:val="id-ID"/>
        </w:rPr>
        <w:t xml:space="preserve">Terkait dengan pemberantasan perjudian daring yang berdampak luas pada perekonomian dan sektor keuangan, OJK telah meminta Bank untuk melakukan pemblokiran terhadap </w:t>
      </w:r>
      <w:r w:rsidRPr="00A428BB">
        <w:rPr>
          <w:rFonts w:ascii="Bookman Old Style" w:hAnsi="Bookman Old Style"/>
          <w:sz w:val="22"/>
          <w:szCs w:val="22"/>
          <w:lang w:val="id-ID"/>
        </w:rPr>
        <w:t>±</w:t>
      </w:r>
      <w:r w:rsidR="00E81594" w:rsidRPr="00A428BB">
        <w:rPr>
          <w:rFonts w:ascii="Bookman Old Style" w:hAnsi="Bookman Old Style"/>
          <w:sz w:val="22"/>
          <w:szCs w:val="22"/>
          <w:lang w:val="id-ID"/>
        </w:rPr>
        <w:t>25.912</w:t>
      </w:r>
      <w:r w:rsidRPr="007F541B">
        <w:rPr>
          <w:rFonts w:ascii="Bookman Old Style" w:hAnsi="Bookman Old Style"/>
          <w:sz w:val="22"/>
          <w:szCs w:val="22"/>
          <w:lang w:val="id-ID"/>
        </w:rPr>
        <w:t xml:space="preserve"> rekening dari data yang disampaikan oleh Kementerian Komunikasi dan Digital</w:t>
      </w:r>
      <w:r w:rsidR="006B0B72">
        <w:rPr>
          <w:rFonts w:ascii="Bookman Old Style" w:hAnsi="Bookman Old Style"/>
          <w:sz w:val="22"/>
          <w:szCs w:val="22"/>
          <w:lang w:val="id-ID"/>
        </w:rPr>
        <w:t xml:space="preserve"> RI</w:t>
      </w:r>
      <w:r w:rsidRPr="007F541B">
        <w:rPr>
          <w:rFonts w:ascii="Bookman Old Style" w:hAnsi="Bookman Old Style"/>
          <w:sz w:val="22"/>
          <w:szCs w:val="22"/>
          <w:lang w:val="id-ID"/>
        </w:rPr>
        <w:t xml:space="preserve">, dan melakukan pengembangan atas laporan tersebut dengan meminta perbankan melakukan penutupan rekening yang </w:t>
      </w:r>
      <w:r w:rsidRPr="007F541B">
        <w:rPr>
          <w:rFonts w:ascii="Bookman Old Style" w:hAnsi="Bookman Old Style"/>
          <w:sz w:val="22"/>
          <w:szCs w:val="22"/>
          <w:lang w:val="id-ID"/>
        </w:rPr>
        <w:lastRenderedPageBreak/>
        <w:t xml:space="preserve">memiliki kesesuaian dengan Nomor Identitas Kependudukan serta melakukan </w:t>
      </w:r>
      <w:r w:rsidRPr="007F541B">
        <w:rPr>
          <w:rFonts w:ascii="Bookman Old Style" w:hAnsi="Bookman Old Style"/>
          <w:i/>
          <w:sz w:val="22"/>
          <w:szCs w:val="22"/>
          <w:lang w:val="id-ID"/>
        </w:rPr>
        <w:t>Enhance Due Diligence</w:t>
      </w:r>
      <w:r w:rsidRPr="007F541B">
        <w:rPr>
          <w:rFonts w:ascii="Bookman Old Style" w:hAnsi="Bookman Old Style"/>
          <w:sz w:val="22"/>
          <w:szCs w:val="22"/>
          <w:lang w:val="id-ID"/>
        </w:rPr>
        <w:t xml:space="preserve"> (EDD</w:t>
      </w:r>
      <w:r w:rsidRPr="003E3294">
        <w:rPr>
          <w:rFonts w:ascii="Bookman Old Style" w:hAnsi="Bookman Old Style"/>
          <w:sz w:val="22"/>
          <w:szCs w:val="22"/>
          <w:lang w:val="id-ID"/>
        </w:rPr>
        <w:t>).</w:t>
      </w:r>
      <w:r w:rsidR="003E3294" w:rsidRPr="00AB372C">
        <w:rPr>
          <w:rFonts w:ascii="Bookman Old Style" w:hAnsi="Bookman Old Style"/>
          <w:sz w:val="22"/>
          <w:szCs w:val="22"/>
          <w:lang w:val="id-ID"/>
        </w:rPr>
        <w:t xml:space="preserve"> </w:t>
      </w:r>
      <w:r w:rsidR="003E3294" w:rsidRPr="000E2171">
        <w:rPr>
          <w:rFonts w:ascii="Bookman Old Style" w:eastAsia="Bookman Old Style" w:hAnsi="Bookman Old Style" w:cs="Bookman Old Style"/>
          <w:color w:val="000000" w:themeColor="text1"/>
          <w:sz w:val="22"/>
          <w:szCs w:val="22"/>
          <w:lang w:val="id-ID"/>
        </w:rPr>
        <w:t xml:space="preserve">Untuk meningkatkan kualitas sistem keamanan siber bank, </w:t>
      </w:r>
      <w:r w:rsidR="003E3294" w:rsidRPr="00A428BB">
        <w:rPr>
          <w:rFonts w:ascii="Bookman Old Style" w:eastAsia="Bookman Old Style" w:hAnsi="Bookman Old Style" w:cs="Bookman Old Style"/>
          <w:iCs/>
          <w:sz w:val="22"/>
          <w:szCs w:val="22"/>
          <w:lang w:val="id-ID"/>
        </w:rPr>
        <w:t>OJK juga telah meminta bank untuk kembali meningkatkan dan memperkuat kapabilitas deteksi insiden siber</w:t>
      </w:r>
      <w:r w:rsidR="00C070E0">
        <w:rPr>
          <w:rFonts w:ascii="Bookman Old Style" w:eastAsia="Bookman Old Style" w:hAnsi="Bookman Old Style" w:cs="Bookman Old Style"/>
          <w:iCs/>
          <w:sz w:val="22"/>
          <w:szCs w:val="22"/>
          <w:lang w:val="id-ID"/>
        </w:rPr>
        <w:t xml:space="preserve"> </w:t>
      </w:r>
      <w:r w:rsidR="003E3294" w:rsidRPr="000E2171">
        <w:rPr>
          <w:rFonts w:ascii="Bookman Old Style" w:eastAsia="Bookman Old Style" w:hAnsi="Bookman Old Style" w:cs="Bookman Old Style"/>
          <w:color w:val="000000" w:themeColor="text1"/>
          <w:sz w:val="22"/>
          <w:szCs w:val="22"/>
          <w:lang w:val="id-ID"/>
        </w:rPr>
        <w:t xml:space="preserve">dengan melakukan pemantauan setiap saat terhadap anomali transaksi keuangan yang berpotensi </w:t>
      </w:r>
      <w:r w:rsidR="003E3294" w:rsidRPr="000E2171">
        <w:rPr>
          <w:rFonts w:ascii="Bookman Old Style" w:eastAsia="Bookman Old Style" w:hAnsi="Bookman Old Style" w:cs="Bookman Old Style"/>
          <w:i/>
          <w:iCs/>
          <w:color w:val="000000" w:themeColor="text1"/>
          <w:sz w:val="22"/>
          <w:szCs w:val="22"/>
          <w:lang w:val="id-ID"/>
        </w:rPr>
        <w:t>fraud</w:t>
      </w:r>
      <w:r w:rsidR="003E3294" w:rsidRPr="000E2171">
        <w:rPr>
          <w:rFonts w:ascii="Bookman Old Style" w:eastAsia="Bookman Old Style" w:hAnsi="Bookman Old Style" w:cs="Bookman Old Style"/>
          <w:color w:val="000000" w:themeColor="text1"/>
          <w:sz w:val="22"/>
          <w:szCs w:val="22"/>
          <w:lang w:val="id-ID"/>
        </w:rPr>
        <w:t>.</w:t>
      </w:r>
    </w:p>
    <w:p w14:paraId="776248CF" w14:textId="77777777" w:rsidR="00F9390E" w:rsidRDefault="00F9390E" w:rsidP="00DB5475">
      <w:pPr>
        <w:spacing w:after="120" w:line="276" w:lineRule="auto"/>
        <w:jc w:val="both"/>
        <w:rPr>
          <w:rFonts w:ascii="Bookman Old Style" w:hAnsi="Bookman Old Style"/>
          <w:b/>
          <w:sz w:val="22"/>
          <w:szCs w:val="22"/>
          <w:lang w:val="id-ID"/>
        </w:rPr>
      </w:pPr>
    </w:p>
    <w:p w14:paraId="35D1CE64" w14:textId="51B066BD" w:rsidR="00DB5475" w:rsidRPr="007F541B" w:rsidRDefault="00DB5475" w:rsidP="00DB5475">
      <w:pPr>
        <w:spacing w:after="120" w:line="276" w:lineRule="auto"/>
        <w:jc w:val="both"/>
        <w:rPr>
          <w:rFonts w:ascii="Bookman Old Style" w:hAnsi="Bookman Old Style"/>
          <w:sz w:val="22"/>
          <w:szCs w:val="22"/>
          <w:lang w:val="id-ID"/>
        </w:rPr>
      </w:pPr>
      <w:r w:rsidRPr="007F541B">
        <w:rPr>
          <w:rFonts w:ascii="Bookman Old Style" w:hAnsi="Bookman Old Style"/>
          <w:b/>
          <w:sz w:val="22"/>
          <w:szCs w:val="22"/>
          <w:lang w:val="id-ID"/>
        </w:rPr>
        <w:t>Perkembangan Sektor Perasuransian, Penjaminan, dan Dana Pensiun (PPDP) </w:t>
      </w:r>
      <w:r w:rsidRPr="007F541B">
        <w:rPr>
          <w:rFonts w:ascii="Bookman Old Style" w:hAnsi="Bookman Old Style"/>
          <w:sz w:val="22"/>
          <w:szCs w:val="22"/>
          <w:lang w:val="id-ID"/>
        </w:rPr>
        <w:t>  </w:t>
      </w:r>
      <w:r w:rsidRPr="007F541B" w:rsidDel="00562067">
        <w:rPr>
          <w:rFonts w:ascii="Bookman Old Style" w:hAnsi="Bookman Old Style"/>
          <w:sz w:val="22"/>
          <w:szCs w:val="22"/>
          <w:lang w:val="id-ID"/>
        </w:rPr>
        <w:t xml:space="preserve"> </w:t>
      </w:r>
    </w:p>
    <w:p w14:paraId="4CE7B3A9" w14:textId="1810BD75" w:rsidR="00DB5475" w:rsidRPr="007F541B" w:rsidRDefault="00E303EA" w:rsidP="00DB5475">
      <w:pPr>
        <w:spacing w:after="120" w:line="276" w:lineRule="auto"/>
        <w:jc w:val="both"/>
        <w:rPr>
          <w:rFonts w:ascii="Bookman Old Style" w:hAnsi="Bookman Old Style"/>
          <w:sz w:val="22"/>
          <w:szCs w:val="22"/>
          <w:lang w:val="id-ID"/>
        </w:rPr>
      </w:pPr>
      <w:r w:rsidRPr="00E303EA">
        <w:rPr>
          <w:noProof/>
        </w:rPr>
        <w:drawing>
          <wp:inline distT="0" distB="0" distL="0" distR="0" wp14:anchorId="1B50D653" wp14:editId="12C1AA5A">
            <wp:extent cx="5731510" cy="2929890"/>
            <wp:effectExtent l="0" t="0" r="2540" b="3810"/>
            <wp:docPr id="98748945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2929890"/>
                    </a:xfrm>
                    <a:prstGeom prst="rect">
                      <a:avLst/>
                    </a:prstGeom>
                    <a:noFill/>
                    <a:ln>
                      <a:noFill/>
                    </a:ln>
                  </pic:spPr>
                </pic:pic>
              </a:graphicData>
            </a:graphic>
          </wp:inline>
        </w:drawing>
      </w:r>
    </w:p>
    <w:p w14:paraId="5DB7BB3B" w14:textId="02E1541F" w:rsidR="00A819B5" w:rsidRPr="00A819B5" w:rsidRDefault="00B365BF" w:rsidP="00A819B5">
      <w:pPr>
        <w:spacing w:after="120" w:line="276" w:lineRule="auto"/>
        <w:jc w:val="both"/>
        <w:rPr>
          <w:rFonts w:ascii="Bookman Old Style" w:hAnsi="Bookman Old Style"/>
          <w:color w:val="000000" w:themeColor="text1"/>
          <w:sz w:val="22"/>
          <w:szCs w:val="22"/>
          <w:lang w:val="id-ID"/>
        </w:rPr>
      </w:pPr>
      <w:r w:rsidRPr="00B365BF">
        <w:rPr>
          <w:rFonts w:ascii="Bookman Old Style" w:hAnsi="Bookman Old Style"/>
          <w:color w:val="000000" w:themeColor="text1"/>
          <w:sz w:val="22"/>
          <w:szCs w:val="22"/>
          <w:lang w:val="id-ID"/>
        </w:rPr>
        <w:t>Industri PPDP mengambil peran dalam mengelola risiko finansial yang dihadapi masyarakat dalam memitigasi risiko finansial seperti saat sakit, kecelakaan, kerusakan properti atau kendaraan, serta memberikan solusi untuk perencanaan masa depan termasuk tersedianya sumber pendapatan berkelanjutan saat memasuki usia non-produktif. Selain itu, industri PPDP melalui lembaga penjaminan menjadi katalisator bagi pelaku usaha termasuk UMKM dalam memperoleh akses permodalan yang lebih luas.</w:t>
      </w:r>
      <w:r>
        <w:rPr>
          <w:rFonts w:ascii="Bookman Old Style" w:hAnsi="Bookman Old Style"/>
          <w:color w:val="000000" w:themeColor="text1"/>
          <w:sz w:val="22"/>
          <w:szCs w:val="22"/>
          <w:lang w:val="id-ID"/>
        </w:rPr>
        <w:t xml:space="preserve"> Untuk industri asuransi, </w:t>
      </w:r>
      <w:r w:rsidR="00C372C4">
        <w:rPr>
          <w:rFonts w:ascii="Bookman Old Style" w:hAnsi="Bookman Old Style"/>
          <w:color w:val="000000" w:themeColor="text1"/>
          <w:sz w:val="22"/>
          <w:szCs w:val="22"/>
          <w:lang w:val="id-ID"/>
        </w:rPr>
        <w:t>per</w:t>
      </w:r>
      <w:r w:rsidR="00A819B5" w:rsidRPr="00A819B5">
        <w:rPr>
          <w:rFonts w:ascii="Bookman Old Style" w:hAnsi="Bookman Old Style"/>
          <w:color w:val="000000" w:themeColor="text1"/>
          <w:sz w:val="22"/>
          <w:szCs w:val="22"/>
          <w:lang w:val="id-ID"/>
        </w:rPr>
        <w:t xml:space="preserve"> Juni 2025 </w:t>
      </w:r>
      <w:r w:rsidR="00C372C4">
        <w:rPr>
          <w:rFonts w:ascii="Bookman Old Style" w:hAnsi="Bookman Old Style"/>
          <w:color w:val="000000" w:themeColor="text1"/>
          <w:sz w:val="22"/>
          <w:szCs w:val="22"/>
          <w:lang w:val="id-ID"/>
        </w:rPr>
        <w:t xml:space="preserve">aset </w:t>
      </w:r>
      <w:r w:rsidR="00B24121">
        <w:rPr>
          <w:rFonts w:ascii="Bookman Old Style" w:hAnsi="Bookman Old Style"/>
          <w:color w:val="000000" w:themeColor="text1"/>
          <w:sz w:val="22"/>
          <w:szCs w:val="22"/>
          <w:lang w:val="id-ID"/>
        </w:rPr>
        <w:t xml:space="preserve">industri </w:t>
      </w:r>
      <w:r w:rsidR="00A819B5" w:rsidRPr="00A819B5">
        <w:rPr>
          <w:rFonts w:ascii="Bookman Old Style" w:hAnsi="Bookman Old Style"/>
          <w:color w:val="000000" w:themeColor="text1"/>
          <w:sz w:val="22"/>
          <w:szCs w:val="22"/>
          <w:lang w:val="id-ID"/>
        </w:rPr>
        <w:t xml:space="preserve">mencapai Rp1.163,11 triliun atau naik 3,27 persen </w:t>
      </w:r>
      <w:r w:rsidR="00A819B5" w:rsidRPr="00A819B5">
        <w:rPr>
          <w:rFonts w:ascii="Bookman Old Style" w:hAnsi="Bookman Old Style"/>
          <w:i/>
          <w:color w:val="000000" w:themeColor="text1"/>
          <w:sz w:val="22"/>
          <w:szCs w:val="22"/>
          <w:lang w:val="id-ID"/>
        </w:rPr>
        <w:t>yoy</w:t>
      </w:r>
      <w:r w:rsidR="00A819B5" w:rsidRPr="00A819B5">
        <w:rPr>
          <w:rFonts w:ascii="Bookman Old Style" w:hAnsi="Bookman Old Style"/>
          <w:color w:val="000000" w:themeColor="text1"/>
          <w:sz w:val="22"/>
          <w:szCs w:val="22"/>
          <w:lang w:val="id-ID"/>
        </w:rPr>
        <w:t xml:space="preserve">. Dari sisi asuransi komersial, total aset </w:t>
      </w:r>
      <w:r w:rsidR="00C050E6">
        <w:rPr>
          <w:rFonts w:ascii="Bookman Old Style" w:hAnsi="Bookman Old Style"/>
          <w:color w:val="000000" w:themeColor="text1"/>
          <w:sz w:val="22"/>
          <w:szCs w:val="22"/>
          <w:lang w:val="id-ID"/>
        </w:rPr>
        <w:t xml:space="preserve">tercatat </w:t>
      </w:r>
      <w:r w:rsidR="00A819B5" w:rsidRPr="00A819B5">
        <w:rPr>
          <w:rFonts w:ascii="Bookman Old Style" w:hAnsi="Bookman Old Style"/>
          <w:color w:val="000000" w:themeColor="text1"/>
          <w:sz w:val="22"/>
          <w:szCs w:val="22"/>
          <w:lang w:val="id-ID"/>
        </w:rPr>
        <w:t xml:space="preserve">sebesar Rp939,88 triliun atau mencatat pertumbuhan 3,58 persen </w:t>
      </w:r>
      <w:r w:rsidR="00A819B5" w:rsidRPr="00A819B5">
        <w:rPr>
          <w:rFonts w:ascii="Bookman Old Style" w:hAnsi="Bookman Old Style"/>
          <w:i/>
          <w:color w:val="000000" w:themeColor="text1"/>
          <w:sz w:val="22"/>
          <w:szCs w:val="22"/>
          <w:lang w:val="id-ID"/>
        </w:rPr>
        <w:t>yoy</w:t>
      </w:r>
      <w:r w:rsidR="00A819B5" w:rsidRPr="00A819B5">
        <w:rPr>
          <w:rFonts w:ascii="Bookman Old Style" w:hAnsi="Bookman Old Style"/>
          <w:color w:val="000000" w:themeColor="text1"/>
          <w:sz w:val="22"/>
          <w:szCs w:val="22"/>
          <w:lang w:val="id-ID"/>
        </w:rPr>
        <w:t>.</w:t>
      </w:r>
    </w:p>
    <w:p w14:paraId="23DF4F00" w14:textId="40AED0AD" w:rsidR="00DB5475" w:rsidRPr="00D6168E" w:rsidRDefault="00DB5475" w:rsidP="00DB5475">
      <w:pPr>
        <w:spacing w:after="120" w:line="276" w:lineRule="auto"/>
        <w:jc w:val="both"/>
        <w:rPr>
          <w:rFonts w:ascii="Bookman Old Style" w:hAnsi="Bookman Old Style"/>
          <w:color w:val="262626" w:themeColor="text1" w:themeTint="D9"/>
          <w:sz w:val="22"/>
          <w:szCs w:val="22"/>
          <w:lang w:val="id-ID"/>
        </w:rPr>
      </w:pPr>
      <w:r w:rsidRPr="007F541B">
        <w:rPr>
          <w:rFonts w:ascii="Bookman Old Style" w:hAnsi="Bookman Old Style"/>
          <w:sz w:val="22"/>
          <w:szCs w:val="22"/>
          <w:lang w:val="id-ID"/>
        </w:rPr>
        <w:t>Kinerja asuransi komersial berupa pendapatan premi pada periode Januari-</w:t>
      </w:r>
      <w:r w:rsidR="008F4751" w:rsidRPr="007F541B">
        <w:rPr>
          <w:rFonts w:ascii="Bookman Old Style" w:hAnsi="Bookman Old Style"/>
          <w:sz w:val="22"/>
          <w:szCs w:val="22"/>
          <w:lang w:val="id-ID"/>
        </w:rPr>
        <w:t>Juni</w:t>
      </w:r>
      <w:r w:rsidRPr="007F541B">
        <w:rPr>
          <w:rFonts w:ascii="Bookman Old Style" w:hAnsi="Bookman Old Style"/>
          <w:sz w:val="22"/>
          <w:szCs w:val="22"/>
          <w:lang w:val="id-ID"/>
        </w:rPr>
        <w:t xml:space="preserve"> 2025 sebesar Rp1</w:t>
      </w:r>
      <w:r w:rsidR="008008A5" w:rsidRPr="007F541B">
        <w:rPr>
          <w:rFonts w:ascii="Bookman Old Style" w:hAnsi="Bookman Old Style"/>
          <w:sz w:val="22"/>
          <w:szCs w:val="22"/>
          <w:lang w:val="id-ID"/>
        </w:rPr>
        <w:t>66,26</w:t>
      </w:r>
      <w:r w:rsidRPr="007F541B">
        <w:rPr>
          <w:rFonts w:ascii="Bookman Old Style" w:hAnsi="Bookman Old Style"/>
          <w:sz w:val="22"/>
          <w:szCs w:val="22"/>
          <w:lang w:val="id-ID"/>
        </w:rPr>
        <w:t xml:space="preserve"> triliun, atau tumbuh 0,</w:t>
      </w:r>
      <w:r w:rsidR="00030804" w:rsidRPr="007F541B">
        <w:rPr>
          <w:rFonts w:ascii="Bookman Old Style" w:hAnsi="Bookman Old Style"/>
          <w:sz w:val="22"/>
          <w:szCs w:val="22"/>
          <w:lang w:val="id-ID"/>
        </w:rPr>
        <w:t>65</w:t>
      </w:r>
      <w:r w:rsidRPr="007F541B">
        <w:rPr>
          <w:rFonts w:ascii="Bookman Old Style" w:hAnsi="Bookman Old Style"/>
          <w:sz w:val="22"/>
          <w:szCs w:val="22"/>
          <w:lang w:val="id-ID"/>
        </w:rPr>
        <w:t xml:space="preserve"> persen </w:t>
      </w:r>
      <w:r w:rsidRPr="007F541B">
        <w:rPr>
          <w:rFonts w:ascii="Bookman Old Style" w:hAnsi="Bookman Old Style"/>
          <w:i/>
          <w:sz w:val="22"/>
          <w:szCs w:val="22"/>
          <w:lang w:val="id-ID"/>
        </w:rPr>
        <w:t>yoy</w:t>
      </w:r>
      <w:r w:rsidRPr="007F541B">
        <w:rPr>
          <w:rFonts w:ascii="Bookman Old Style" w:hAnsi="Bookman Old Style"/>
          <w:sz w:val="22"/>
          <w:szCs w:val="22"/>
          <w:lang w:val="id-ID"/>
        </w:rPr>
        <w:t xml:space="preserve">, terdiri dari premi asuransi jiwa yang terkontraksi sebesar </w:t>
      </w:r>
      <w:r w:rsidR="00D0455A" w:rsidRPr="007F541B">
        <w:rPr>
          <w:rFonts w:ascii="Bookman Old Style" w:hAnsi="Bookman Old Style"/>
          <w:sz w:val="22"/>
          <w:szCs w:val="22"/>
          <w:lang w:val="id-ID"/>
        </w:rPr>
        <w:t>0,57</w:t>
      </w:r>
      <w:r w:rsidRPr="007F541B">
        <w:rPr>
          <w:rFonts w:ascii="Bookman Old Style" w:hAnsi="Bookman Old Style"/>
          <w:sz w:val="22"/>
          <w:szCs w:val="22"/>
          <w:lang w:val="id-ID"/>
        </w:rPr>
        <w:t xml:space="preserve"> persen </w:t>
      </w:r>
      <w:r w:rsidRPr="007F541B">
        <w:rPr>
          <w:rFonts w:ascii="Bookman Old Style" w:hAnsi="Bookman Old Style"/>
          <w:i/>
          <w:sz w:val="22"/>
          <w:szCs w:val="22"/>
          <w:lang w:val="id-ID"/>
        </w:rPr>
        <w:t>yoy</w:t>
      </w:r>
      <w:r w:rsidRPr="007F541B">
        <w:rPr>
          <w:rFonts w:ascii="Bookman Old Style" w:hAnsi="Bookman Old Style"/>
          <w:sz w:val="22"/>
          <w:szCs w:val="22"/>
          <w:lang w:val="id-ID"/>
        </w:rPr>
        <w:t xml:space="preserve"> dengan nilai sebesar Rp</w:t>
      </w:r>
      <w:r w:rsidR="0034720B" w:rsidRPr="007F541B">
        <w:rPr>
          <w:rFonts w:ascii="Bookman Old Style" w:hAnsi="Bookman Old Style"/>
          <w:sz w:val="22"/>
          <w:szCs w:val="22"/>
          <w:lang w:val="id-ID"/>
        </w:rPr>
        <w:t>87,48</w:t>
      </w:r>
      <w:r w:rsidRPr="007F541B">
        <w:rPr>
          <w:rFonts w:ascii="Bookman Old Style" w:hAnsi="Bookman Old Style"/>
          <w:sz w:val="22"/>
          <w:szCs w:val="22"/>
          <w:lang w:val="id-ID"/>
        </w:rPr>
        <w:t xml:space="preserve"> triliun, dan premi asuransi umum dan reasuransi tumbuh </w:t>
      </w:r>
      <w:r w:rsidR="0015406A" w:rsidRPr="007F541B">
        <w:rPr>
          <w:rFonts w:ascii="Bookman Old Style" w:hAnsi="Bookman Old Style"/>
          <w:sz w:val="22"/>
          <w:szCs w:val="22"/>
          <w:lang w:val="id-ID"/>
        </w:rPr>
        <w:t>2,04</w:t>
      </w:r>
      <w:r w:rsidRPr="007F541B">
        <w:rPr>
          <w:rFonts w:ascii="Bookman Old Style" w:hAnsi="Bookman Old Style"/>
          <w:sz w:val="22"/>
          <w:szCs w:val="22"/>
          <w:lang w:val="id-ID"/>
        </w:rPr>
        <w:t xml:space="preserve"> persen </w:t>
      </w:r>
      <w:r w:rsidRPr="007F541B">
        <w:rPr>
          <w:rFonts w:ascii="Bookman Old Style" w:hAnsi="Bookman Old Style"/>
          <w:i/>
          <w:sz w:val="22"/>
          <w:szCs w:val="22"/>
          <w:lang w:val="id-ID"/>
        </w:rPr>
        <w:t>yoy</w:t>
      </w:r>
      <w:r w:rsidRPr="007F541B">
        <w:rPr>
          <w:rFonts w:ascii="Bookman Old Style" w:hAnsi="Bookman Old Style"/>
          <w:sz w:val="22"/>
          <w:szCs w:val="22"/>
          <w:lang w:val="id-ID"/>
        </w:rPr>
        <w:t xml:space="preserve"> dengan nilai sebesar Rp</w:t>
      </w:r>
      <w:r w:rsidR="00CC2A14" w:rsidRPr="007F541B">
        <w:rPr>
          <w:rFonts w:ascii="Bookman Old Style" w:hAnsi="Bookman Old Style"/>
          <w:sz w:val="22"/>
          <w:szCs w:val="22"/>
          <w:lang w:val="id-ID"/>
        </w:rPr>
        <w:t>78,77</w:t>
      </w:r>
      <w:r w:rsidRPr="007F541B">
        <w:rPr>
          <w:rFonts w:ascii="Bookman Old Style" w:hAnsi="Bookman Old Style"/>
          <w:sz w:val="22"/>
          <w:szCs w:val="22"/>
          <w:lang w:val="id-ID"/>
        </w:rPr>
        <w:t xml:space="preserve"> triliun</w:t>
      </w:r>
      <w:r w:rsidRPr="00D6168E">
        <w:rPr>
          <w:rFonts w:ascii="Bookman Old Style" w:hAnsi="Bookman Old Style"/>
          <w:color w:val="262626" w:themeColor="text1" w:themeTint="D9"/>
          <w:sz w:val="22"/>
          <w:szCs w:val="22"/>
          <w:lang w:val="id-ID"/>
        </w:rPr>
        <w:t>.</w:t>
      </w:r>
      <w:r w:rsidR="00071D4E" w:rsidRPr="00D6168E">
        <w:rPr>
          <w:rFonts w:ascii="Bookman Old Style" w:hAnsi="Bookman Old Style"/>
          <w:color w:val="262626" w:themeColor="text1" w:themeTint="D9"/>
          <w:sz w:val="22"/>
          <w:szCs w:val="22"/>
          <w:lang w:val="id-ID"/>
        </w:rPr>
        <w:t xml:space="preserve"> </w:t>
      </w:r>
    </w:p>
    <w:p w14:paraId="48E68126" w14:textId="7939D6D8" w:rsidR="00DB5475" w:rsidRPr="007F541B" w:rsidRDefault="00DB5475" w:rsidP="00DB5475">
      <w:pPr>
        <w:spacing w:after="120" w:line="276" w:lineRule="auto"/>
        <w:jc w:val="both"/>
        <w:rPr>
          <w:rFonts w:ascii="Bookman Old Style" w:hAnsi="Bookman Old Style"/>
          <w:sz w:val="22"/>
          <w:szCs w:val="22"/>
          <w:lang w:val="id-ID"/>
        </w:rPr>
      </w:pPr>
      <w:r w:rsidRPr="007F541B">
        <w:rPr>
          <w:rFonts w:ascii="Bookman Old Style" w:hAnsi="Bookman Old Style"/>
          <w:sz w:val="22"/>
          <w:szCs w:val="22"/>
          <w:lang w:val="id-ID"/>
        </w:rPr>
        <w:t xml:space="preserve">Secara umum, permodalan industri asuransi komersial masih menunjukkan kondisi yang solid, dengan industri asuransi jiwa serta asuransi umum dan reasuransi secara agregat melaporkan </w:t>
      </w:r>
      <w:r w:rsidRPr="007F541B">
        <w:rPr>
          <w:rFonts w:ascii="Bookman Old Style" w:hAnsi="Bookman Old Style"/>
          <w:i/>
          <w:sz w:val="22"/>
          <w:szCs w:val="22"/>
          <w:lang w:val="id-ID"/>
        </w:rPr>
        <w:t>Risk Based Capital</w:t>
      </w:r>
      <w:r w:rsidRPr="007F541B">
        <w:rPr>
          <w:rFonts w:ascii="Bookman Old Style" w:hAnsi="Bookman Old Style"/>
          <w:sz w:val="22"/>
          <w:szCs w:val="22"/>
          <w:lang w:val="id-ID"/>
        </w:rPr>
        <w:t xml:space="preserve"> (RBC) masing-masing sebesar 4</w:t>
      </w:r>
      <w:r w:rsidR="00E63963" w:rsidRPr="007F541B">
        <w:rPr>
          <w:rFonts w:ascii="Bookman Old Style" w:hAnsi="Bookman Old Style"/>
          <w:sz w:val="22"/>
          <w:szCs w:val="22"/>
          <w:lang w:val="id-ID"/>
        </w:rPr>
        <w:t>73,55</w:t>
      </w:r>
      <w:r w:rsidRPr="007F541B">
        <w:rPr>
          <w:rFonts w:ascii="Bookman Old Style" w:hAnsi="Bookman Old Style"/>
          <w:sz w:val="22"/>
          <w:szCs w:val="22"/>
          <w:lang w:val="id-ID"/>
        </w:rPr>
        <w:t xml:space="preserve"> persen dan 31</w:t>
      </w:r>
      <w:r w:rsidR="00662608" w:rsidRPr="007F541B">
        <w:rPr>
          <w:rFonts w:ascii="Bookman Old Style" w:hAnsi="Bookman Old Style"/>
          <w:sz w:val="22"/>
          <w:szCs w:val="22"/>
          <w:lang w:val="id-ID"/>
        </w:rPr>
        <w:t>2,33</w:t>
      </w:r>
      <w:r w:rsidRPr="007F541B">
        <w:rPr>
          <w:rFonts w:ascii="Bookman Old Style" w:hAnsi="Bookman Old Style"/>
          <w:sz w:val="22"/>
          <w:szCs w:val="22"/>
          <w:lang w:val="id-ID"/>
        </w:rPr>
        <w:t xml:space="preserve"> persen (di atas threshold sebesar 120 persen).</w:t>
      </w:r>
    </w:p>
    <w:p w14:paraId="4DF579F4" w14:textId="3D756316" w:rsidR="00DB5475" w:rsidRPr="007F541B" w:rsidRDefault="00DB5475" w:rsidP="00DB5475">
      <w:pPr>
        <w:spacing w:after="120" w:line="276" w:lineRule="auto"/>
        <w:jc w:val="both"/>
        <w:rPr>
          <w:rFonts w:ascii="Bookman Old Style" w:hAnsi="Bookman Old Style"/>
          <w:sz w:val="22"/>
          <w:szCs w:val="22"/>
          <w:lang w:val="id-ID"/>
        </w:rPr>
      </w:pPr>
      <w:r w:rsidRPr="007F541B">
        <w:rPr>
          <w:rFonts w:ascii="Bookman Old Style" w:hAnsi="Bookman Old Style"/>
          <w:sz w:val="22"/>
          <w:szCs w:val="22"/>
          <w:lang w:val="id-ID"/>
        </w:rPr>
        <w:t xml:space="preserve">Untuk asuransi non komersial yang terdiri dari BPJS Kesehatan (badan dan program jaminan kesehatan nasional) dan BPJS Ketenagakerjaan (badan, jaminan kecelakaan kerja, jaminan kematian, atau jaminan kehilangan pekerjaan) serta </w:t>
      </w:r>
      <w:r w:rsidRPr="007F541B">
        <w:rPr>
          <w:rFonts w:ascii="Bookman Old Style" w:hAnsi="Bookman Old Style"/>
          <w:sz w:val="22"/>
          <w:szCs w:val="22"/>
          <w:lang w:val="id-ID"/>
        </w:rPr>
        <w:lastRenderedPageBreak/>
        <w:t>program asuransi ASN, TNI, dan POLRI terkait program jaminan kecelakaan kerja dan jaminan kematian, total aset tercatat sebesar Rp223,</w:t>
      </w:r>
      <w:r w:rsidR="0024647F" w:rsidRPr="007F541B">
        <w:rPr>
          <w:rFonts w:ascii="Bookman Old Style" w:hAnsi="Bookman Old Style"/>
          <w:sz w:val="22"/>
          <w:szCs w:val="22"/>
          <w:lang w:val="id-ID"/>
        </w:rPr>
        <w:t>23</w:t>
      </w:r>
      <w:r w:rsidRPr="007F541B">
        <w:rPr>
          <w:rFonts w:ascii="Bookman Old Style" w:hAnsi="Bookman Old Style"/>
          <w:sz w:val="22"/>
          <w:szCs w:val="22"/>
          <w:lang w:val="id-ID"/>
        </w:rPr>
        <w:t xml:space="preserve"> triliun atau tumbuh sebesar 1,9</w:t>
      </w:r>
      <w:r w:rsidR="00CD4242" w:rsidRPr="007F541B">
        <w:rPr>
          <w:rFonts w:ascii="Bookman Old Style" w:hAnsi="Bookman Old Style"/>
          <w:sz w:val="22"/>
          <w:szCs w:val="22"/>
          <w:lang w:val="id-ID"/>
        </w:rPr>
        <w:t>9</w:t>
      </w:r>
      <w:r w:rsidRPr="007F541B">
        <w:rPr>
          <w:rFonts w:ascii="Bookman Old Style" w:hAnsi="Bookman Old Style"/>
          <w:sz w:val="22"/>
          <w:szCs w:val="22"/>
          <w:lang w:val="id-ID"/>
        </w:rPr>
        <w:t xml:space="preserve"> persen </w:t>
      </w:r>
      <w:r w:rsidRPr="007F541B">
        <w:rPr>
          <w:rFonts w:ascii="Bookman Old Style" w:hAnsi="Bookman Old Style"/>
          <w:i/>
          <w:sz w:val="22"/>
          <w:szCs w:val="22"/>
          <w:lang w:val="id-ID"/>
        </w:rPr>
        <w:t>yoy</w:t>
      </w:r>
      <w:r w:rsidRPr="007F541B">
        <w:rPr>
          <w:rFonts w:ascii="Bookman Old Style" w:hAnsi="Bookman Old Style"/>
          <w:sz w:val="22"/>
          <w:szCs w:val="22"/>
          <w:lang w:val="id-ID"/>
        </w:rPr>
        <w:t>.</w:t>
      </w:r>
    </w:p>
    <w:p w14:paraId="5D5455BD" w14:textId="4475FA60" w:rsidR="00DB5475" w:rsidRPr="007F541B" w:rsidRDefault="00DB5475" w:rsidP="00DB5475">
      <w:pPr>
        <w:spacing w:after="120" w:line="276" w:lineRule="auto"/>
        <w:jc w:val="both"/>
        <w:rPr>
          <w:rFonts w:ascii="Bookman Old Style" w:hAnsi="Bookman Old Style"/>
          <w:sz w:val="22"/>
          <w:szCs w:val="22"/>
          <w:lang w:val="id-ID"/>
        </w:rPr>
      </w:pPr>
      <w:r w:rsidRPr="007F541B">
        <w:rPr>
          <w:rFonts w:ascii="Bookman Old Style" w:hAnsi="Bookman Old Style"/>
          <w:sz w:val="22"/>
          <w:szCs w:val="22"/>
          <w:lang w:val="id-ID"/>
        </w:rPr>
        <w:t xml:space="preserve">Pada industri dana pensiun, total aset per </w:t>
      </w:r>
      <w:r w:rsidR="00CD5262" w:rsidRPr="007F541B">
        <w:rPr>
          <w:rFonts w:ascii="Bookman Old Style" w:hAnsi="Bookman Old Style"/>
          <w:sz w:val="22"/>
          <w:szCs w:val="22"/>
          <w:lang w:val="id-ID"/>
        </w:rPr>
        <w:t>Juni</w:t>
      </w:r>
      <w:r w:rsidRPr="007F541B">
        <w:rPr>
          <w:rFonts w:ascii="Bookman Old Style" w:hAnsi="Bookman Old Style"/>
          <w:sz w:val="22"/>
          <w:szCs w:val="22"/>
          <w:lang w:val="id-ID"/>
        </w:rPr>
        <w:t xml:space="preserve"> 2025 tumbuh sebesar </w:t>
      </w:r>
      <w:r w:rsidR="00C57F8D" w:rsidRPr="007F541B">
        <w:rPr>
          <w:rFonts w:ascii="Bookman Old Style" w:hAnsi="Bookman Old Style"/>
          <w:sz w:val="22"/>
          <w:szCs w:val="22"/>
          <w:lang w:val="id-ID"/>
        </w:rPr>
        <w:t>8,99</w:t>
      </w:r>
      <w:r w:rsidRPr="007F541B">
        <w:rPr>
          <w:rFonts w:ascii="Bookman Old Style" w:hAnsi="Bookman Old Style"/>
          <w:sz w:val="22"/>
          <w:szCs w:val="22"/>
          <w:lang w:val="id-ID"/>
        </w:rPr>
        <w:t xml:space="preserve"> persen </w:t>
      </w:r>
      <w:r w:rsidRPr="007F541B">
        <w:rPr>
          <w:rFonts w:ascii="Bookman Old Style" w:hAnsi="Bookman Old Style"/>
          <w:i/>
          <w:sz w:val="22"/>
          <w:szCs w:val="22"/>
          <w:lang w:val="id-ID"/>
        </w:rPr>
        <w:t>yoy</w:t>
      </w:r>
      <w:r w:rsidRPr="007F541B">
        <w:rPr>
          <w:rFonts w:ascii="Bookman Old Style" w:hAnsi="Bookman Old Style"/>
          <w:sz w:val="22"/>
          <w:szCs w:val="22"/>
          <w:lang w:val="id-ID"/>
        </w:rPr>
        <w:t xml:space="preserve"> dengan nilai mencapai Rp1.57</w:t>
      </w:r>
      <w:r w:rsidR="005F41B6" w:rsidRPr="007F541B">
        <w:rPr>
          <w:rFonts w:ascii="Bookman Old Style" w:hAnsi="Bookman Old Style"/>
          <w:sz w:val="22"/>
          <w:szCs w:val="22"/>
          <w:lang w:val="id-ID"/>
        </w:rPr>
        <w:t>8</w:t>
      </w:r>
      <w:r w:rsidRPr="007F541B">
        <w:rPr>
          <w:rFonts w:ascii="Bookman Old Style" w:hAnsi="Bookman Old Style"/>
          <w:sz w:val="22"/>
          <w:szCs w:val="22"/>
          <w:lang w:val="id-ID"/>
        </w:rPr>
        <w:t>,</w:t>
      </w:r>
      <w:r w:rsidR="005F41B6" w:rsidRPr="007F541B">
        <w:rPr>
          <w:rFonts w:ascii="Bookman Old Style" w:hAnsi="Bookman Old Style"/>
          <w:sz w:val="22"/>
          <w:szCs w:val="22"/>
          <w:lang w:val="id-ID"/>
        </w:rPr>
        <w:t>47</w:t>
      </w:r>
      <w:r w:rsidRPr="007F541B">
        <w:rPr>
          <w:rFonts w:ascii="Bookman Old Style" w:hAnsi="Bookman Old Style"/>
          <w:sz w:val="22"/>
          <w:szCs w:val="22"/>
          <w:lang w:val="id-ID"/>
        </w:rPr>
        <w:t xml:space="preserve"> triliun. Untuk program pensiun sukarela, total aset mencatatkan pertumbuhan sebesar 5,0</w:t>
      </w:r>
      <w:r w:rsidR="00C90F63" w:rsidRPr="007F541B">
        <w:rPr>
          <w:rFonts w:ascii="Bookman Old Style" w:hAnsi="Bookman Old Style"/>
          <w:sz w:val="22"/>
          <w:szCs w:val="22"/>
          <w:lang w:val="id-ID"/>
        </w:rPr>
        <w:t>3</w:t>
      </w:r>
      <w:r w:rsidRPr="007F541B">
        <w:rPr>
          <w:rFonts w:ascii="Bookman Old Style" w:hAnsi="Bookman Old Style"/>
          <w:sz w:val="22"/>
          <w:szCs w:val="22"/>
          <w:lang w:val="id-ID"/>
        </w:rPr>
        <w:t xml:space="preserve"> persen </w:t>
      </w:r>
      <w:r w:rsidRPr="007F541B">
        <w:rPr>
          <w:rFonts w:ascii="Bookman Old Style" w:hAnsi="Bookman Old Style"/>
          <w:i/>
          <w:sz w:val="22"/>
          <w:szCs w:val="22"/>
          <w:lang w:val="id-ID"/>
        </w:rPr>
        <w:t>yoy</w:t>
      </w:r>
      <w:r w:rsidRPr="007F541B">
        <w:rPr>
          <w:rFonts w:ascii="Bookman Old Style" w:hAnsi="Bookman Old Style"/>
          <w:sz w:val="22"/>
          <w:szCs w:val="22"/>
          <w:lang w:val="id-ID"/>
        </w:rPr>
        <w:t xml:space="preserve"> dengan nilai mencapai Rp391,</w:t>
      </w:r>
      <w:r w:rsidR="007F2F5C" w:rsidRPr="007F541B">
        <w:rPr>
          <w:rFonts w:ascii="Bookman Old Style" w:hAnsi="Bookman Old Style"/>
          <w:sz w:val="22"/>
          <w:szCs w:val="22"/>
          <w:lang w:val="id-ID"/>
        </w:rPr>
        <w:t>4</w:t>
      </w:r>
      <w:r w:rsidRPr="007F541B">
        <w:rPr>
          <w:rFonts w:ascii="Bookman Old Style" w:hAnsi="Bookman Old Style"/>
          <w:sz w:val="22"/>
          <w:szCs w:val="22"/>
          <w:lang w:val="id-ID"/>
        </w:rPr>
        <w:t>3 triliun.</w:t>
      </w:r>
    </w:p>
    <w:p w14:paraId="076A142C" w14:textId="764A5EAC" w:rsidR="00DB5475" w:rsidRPr="007F541B" w:rsidRDefault="00DB5475" w:rsidP="00DB5475">
      <w:pPr>
        <w:spacing w:after="120" w:line="276" w:lineRule="auto"/>
        <w:jc w:val="both"/>
        <w:rPr>
          <w:rFonts w:ascii="Bookman Old Style" w:hAnsi="Bookman Old Style"/>
          <w:sz w:val="22"/>
          <w:szCs w:val="22"/>
          <w:lang w:val="id-ID"/>
        </w:rPr>
      </w:pPr>
      <w:r w:rsidRPr="007F541B">
        <w:rPr>
          <w:rFonts w:ascii="Bookman Old Style" w:hAnsi="Bookman Old Style"/>
          <w:sz w:val="22"/>
          <w:szCs w:val="22"/>
          <w:lang w:val="id-ID"/>
        </w:rPr>
        <w:t>Untuk program pensiun wajib, yang terdiri dari program jaminan hari tua dan jaminan pensiun BPJS Ketenagakerjaan, serta program tabungan hari tua dan akumulasi iuran pensiun, ASN, TNI, dan POLRI, total aset mencapai Rp1.18</w:t>
      </w:r>
      <w:r w:rsidR="00E72009" w:rsidRPr="007F541B">
        <w:rPr>
          <w:rFonts w:ascii="Bookman Old Style" w:hAnsi="Bookman Old Style"/>
          <w:sz w:val="22"/>
          <w:szCs w:val="22"/>
          <w:lang w:val="id-ID"/>
        </w:rPr>
        <w:t>7</w:t>
      </w:r>
      <w:r w:rsidRPr="007F541B">
        <w:rPr>
          <w:rFonts w:ascii="Bookman Old Style" w:hAnsi="Bookman Old Style"/>
          <w:sz w:val="22"/>
          <w:szCs w:val="22"/>
          <w:lang w:val="id-ID"/>
        </w:rPr>
        <w:t>,</w:t>
      </w:r>
      <w:r w:rsidR="00E72009" w:rsidRPr="007F541B">
        <w:rPr>
          <w:rFonts w:ascii="Bookman Old Style" w:hAnsi="Bookman Old Style"/>
          <w:sz w:val="22"/>
          <w:szCs w:val="22"/>
          <w:lang w:val="id-ID"/>
        </w:rPr>
        <w:t>03</w:t>
      </w:r>
      <w:r w:rsidRPr="007F541B">
        <w:rPr>
          <w:rFonts w:ascii="Bookman Old Style" w:hAnsi="Bookman Old Style"/>
          <w:sz w:val="22"/>
          <w:szCs w:val="22"/>
          <w:lang w:val="id-ID"/>
        </w:rPr>
        <w:t xml:space="preserve"> triliun atau tumbuh sebesar 10,</w:t>
      </w:r>
      <w:r w:rsidR="001A2911" w:rsidRPr="007F541B">
        <w:rPr>
          <w:rFonts w:ascii="Bookman Old Style" w:hAnsi="Bookman Old Style"/>
          <w:sz w:val="22"/>
          <w:szCs w:val="22"/>
          <w:lang w:val="id-ID"/>
        </w:rPr>
        <w:t>36</w:t>
      </w:r>
      <w:r w:rsidRPr="007F541B">
        <w:rPr>
          <w:rFonts w:ascii="Bookman Old Style" w:hAnsi="Bookman Old Style"/>
          <w:sz w:val="22"/>
          <w:szCs w:val="22"/>
          <w:lang w:val="id-ID"/>
        </w:rPr>
        <w:t xml:space="preserve"> persen </w:t>
      </w:r>
      <w:r w:rsidRPr="007F541B">
        <w:rPr>
          <w:rFonts w:ascii="Bookman Old Style" w:hAnsi="Bookman Old Style"/>
          <w:i/>
          <w:sz w:val="22"/>
          <w:szCs w:val="22"/>
          <w:lang w:val="id-ID"/>
        </w:rPr>
        <w:t>yoy</w:t>
      </w:r>
      <w:r w:rsidRPr="007F541B">
        <w:rPr>
          <w:rFonts w:ascii="Bookman Old Style" w:hAnsi="Bookman Old Style"/>
          <w:sz w:val="22"/>
          <w:szCs w:val="22"/>
          <w:lang w:val="id-ID"/>
        </w:rPr>
        <w:t>.</w:t>
      </w:r>
    </w:p>
    <w:p w14:paraId="0B948DAA" w14:textId="0D884C80" w:rsidR="00DB5475" w:rsidRPr="007F541B" w:rsidRDefault="00DB5475" w:rsidP="00DB5475">
      <w:pPr>
        <w:spacing w:after="120" w:line="276" w:lineRule="auto"/>
        <w:jc w:val="both"/>
        <w:rPr>
          <w:rFonts w:ascii="Bookman Old Style" w:hAnsi="Bookman Old Style"/>
          <w:sz w:val="22"/>
          <w:szCs w:val="22"/>
          <w:lang w:val="id-ID"/>
        </w:rPr>
      </w:pPr>
      <w:r w:rsidRPr="007F541B">
        <w:rPr>
          <w:rFonts w:ascii="Bookman Old Style" w:hAnsi="Bookman Old Style"/>
          <w:sz w:val="22"/>
          <w:szCs w:val="22"/>
          <w:lang w:val="id-ID"/>
        </w:rPr>
        <w:t>Pada perusahaan penjaminan, p</w:t>
      </w:r>
      <w:r w:rsidR="005D5D79">
        <w:rPr>
          <w:rFonts w:ascii="Bookman Old Style" w:hAnsi="Bookman Old Style"/>
          <w:sz w:val="22"/>
          <w:szCs w:val="22"/>
          <w:lang w:val="id-ID"/>
        </w:rPr>
        <w:t>er</w:t>
      </w:r>
      <w:r w:rsidRPr="007F541B">
        <w:rPr>
          <w:rFonts w:ascii="Bookman Old Style" w:hAnsi="Bookman Old Style"/>
          <w:sz w:val="22"/>
          <w:szCs w:val="22"/>
          <w:lang w:val="id-ID"/>
        </w:rPr>
        <w:t xml:space="preserve"> </w:t>
      </w:r>
      <w:r w:rsidR="001A2911" w:rsidRPr="007F541B">
        <w:rPr>
          <w:rFonts w:ascii="Bookman Old Style" w:hAnsi="Bookman Old Style"/>
          <w:sz w:val="22"/>
          <w:szCs w:val="22"/>
          <w:lang w:val="id-ID"/>
        </w:rPr>
        <w:t>Juni</w:t>
      </w:r>
      <w:r w:rsidRPr="007F541B">
        <w:rPr>
          <w:rFonts w:ascii="Bookman Old Style" w:hAnsi="Bookman Old Style"/>
          <w:sz w:val="22"/>
          <w:szCs w:val="22"/>
          <w:lang w:val="id-ID"/>
        </w:rPr>
        <w:t xml:space="preserve"> 2025 nilai aset tercatat </w:t>
      </w:r>
      <w:r w:rsidR="009C3A61" w:rsidRPr="007F541B">
        <w:rPr>
          <w:rFonts w:ascii="Bookman Old Style" w:hAnsi="Bookman Old Style"/>
          <w:sz w:val="22"/>
          <w:szCs w:val="22"/>
          <w:lang w:val="id-ID"/>
        </w:rPr>
        <w:t>mengalami kontraksi</w:t>
      </w:r>
      <w:r w:rsidRPr="007F541B">
        <w:rPr>
          <w:rFonts w:ascii="Bookman Old Style" w:hAnsi="Bookman Old Style"/>
          <w:sz w:val="22"/>
          <w:szCs w:val="22"/>
          <w:lang w:val="id-ID"/>
        </w:rPr>
        <w:t xml:space="preserve"> 0,</w:t>
      </w:r>
      <w:r w:rsidR="009C3A61" w:rsidRPr="007F541B">
        <w:rPr>
          <w:rFonts w:ascii="Bookman Old Style" w:hAnsi="Bookman Old Style"/>
          <w:sz w:val="22"/>
          <w:szCs w:val="22"/>
          <w:lang w:val="id-ID"/>
        </w:rPr>
        <w:t>04</w:t>
      </w:r>
      <w:r w:rsidRPr="007F541B">
        <w:rPr>
          <w:rFonts w:ascii="Bookman Old Style" w:hAnsi="Bookman Old Style"/>
          <w:sz w:val="22"/>
          <w:szCs w:val="22"/>
          <w:lang w:val="id-ID"/>
        </w:rPr>
        <w:t xml:space="preserve"> persen </w:t>
      </w:r>
      <w:r w:rsidRPr="007F541B">
        <w:rPr>
          <w:rFonts w:ascii="Bookman Old Style" w:hAnsi="Bookman Old Style"/>
          <w:i/>
          <w:sz w:val="22"/>
          <w:szCs w:val="22"/>
          <w:lang w:val="id-ID"/>
        </w:rPr>
        <w:t>yoy</w:t>
      </w:r>
      <w:r w:rsidRPr="007F541B">
        <w:rPr>
          <w:rFonts w:ascii="Bookman Old Style" w:hAnsi="Bookman Old Style"/>
          <w:sz w:val="22"/>
          <w:szCs w:val="22"/>
          <w:lang w:val="id-ID"/>
        </w:rPr>
        <w:t xml:space="preserve"> menjadi Rp47,</w:t>
      </w:r>
      <w:r w:rsidR="001A2911" w:rsidRPr="007F541B">
        <w:rPr>
          <w:rFonts w:ascii="Bookman Old Style" w:hAnsi="Bookman Old Style"/>
          <w:sz w:val="22"/>
          <w:szCs w:val="22"/>
          <w:lang w:val="id-ID"/>
        </w:rPr>
        <w:t>27</w:t>
      </w:r>
      <w:r w:rsidRPr="007F541B">
        <w:rPr>
          <w:rFonts w:ascii="Bookman Old Style" w:hAnsi="Bookman Old Style"/>
          <w:sz w:val="22"/>
          <w:szCs w:val="22"/>
          <w:lang w:val="id-ID"/>
        </w:rPr>
        <w:t xml:space="preserve"> triliun.  </w:t>
      </w:r>
    </w:p>
    <w:p w14:paraId="5D0B76A4" w14:textId="40EB8133" w:rsidR="00DB5475" w:rsidRPr="007F541B" w:rsidRDefault="001C1DFF" w:rsidP="00D6168E">
      <w:pPr>
        <w:spacing w:after="60" w:line="276" w:lineRule="auto"/>
        <w:jc w:val="both"/>
        <w:rPr>
          <w:rFonts w:ascii="Bookman Old Style" w:hAnsi="Bookman Old Style"/>
          <w:sz w:val="22"/>
          <w:szCs w:val="22"/>
          <w:lang w:val="id-ID"/>
        </w:rPr>
      </w:pPr>
      <w:r>
        <w:rPr>
          <w:rFonts w:ascii="Bookman Old Style" w:hAnsi="Bookman Old Style"/>
          <w:sz w:val="22"/>
          <w:szCs w:val="22"/>
          <w:lang w:val="id-ID"/>
        </w:rPr>
        <w:t>Dalam rangka</w:t>
      </w:r>
      <w:r w:rsidRPr="007F541B">
        <w:rPr>
          <w:rFonts w:ascii="Bookman Old Style" w:hAnsi="Bookman Old Style"/>
          <w:sz w:val="22"/>
          <w:szCs w:val="22"/>
          <w:lang w:val="id-ID"/>
        </w:rPr>
        <w:t xml:space="preserve"> </w:t>
      </w:r>
      <w:r w:rsidR="00DB5475" w:rsidRPr="007F541B">
        <w:rPr>
          <w:rFonts w:ascii="Bookman Old Style" w:hAnsi="Bookman Old Style"/>
          <w:sz w:val="22"/>
          <w:szCs w:val="22"/>
          <w:lang w:val="id-ID"/>
        </w:rPr>
        <w:t xml:space="preserve">penegakan ketentuan dan pelindungan konsumen di </w:t>
      </w:r>
      <w:r w:rsidR="007A314F" w:rsidRPr="007F541B">
        <w:rPr>
          <w:rFonts w:ascii="Bookman Old Style" w:hAnsi="Bookman Old Style"/>
          <w:sz w:val="22"/>
          <w:szCs w:val="22"/>
          <w:lang w:val="id-ID"/>
        </w:rPr>
        <w:t>bidang</w:t>
      </w:r>
      <w:r w:rsidR="00DB5475" w:rsidRPr="007F541B">
        <w:rPr>
          <w:rFonts w:ascii="Bookman Old Style" w:hAnsi="Bookman Old Style"/>
          <w:sz w:val="22"/>
          <w:szCs w:val="22"/>
          <w:lang w:val="id-ID"/>
        </w:rPr>
        <w:t xml:space="preserve"> PPDP, OJK telah melakukan langkah-langkah sebagai berikut: </w:t>
      </w:r>
    </w:p>
    <w:p w14:paraId="7B5AC6BD" w14:textId="25C84BEF" w:rsidR="00931AA2" w:rsidRPr="00D6168E" w:rsidRDefault="00256CF2" w:rsidP="00D6168E">
      <w:pPr>
        <w:pStyle w:val="ListParagraph"/>
        <w:numPr>
          <w:ilvl w:val="0"/>
          <w:numId w:val="10"/>
        </w:numPr>
        <w:spacing w:after="120" w:line="276" w:lineRule="auto"/>
        <w:ind w:left="426"/>
        <w:jc w:val="both"/>
        <w:rPr>
          <w:rFonts w:ascii="Bookman Old Style" w:hAnsi="Bookman Old Style"/>
          <w:color w:val="000000" w:themeColor="text1"/>
          <w:sz w:val="22"/>
          <w:szCs w:val="22"/>
          <w:lang w:val="id-ID"/>
        </w:rPr>
      </w:pPr>
      <w:r>
        <w:rPr>
          <w:rFonts w:ascii="Bookman Old Style" w:hAnsi="Bookman Old Style"/>
          <w:sz w:val="22"/>
          <w:szCs w:val="22"/>
          <w:lang w:val="id-ID"/>
        </w:rPr>
        <w:t xml:space="preserve">Dalam </w:t>
      </w:r>
      <w:r w:rsidR="001C1DFF">
        <w:rPr>
          <w:rFonts w:ascii="Bookman Old Style" w:hAnsi="Bookman Old Style"/>
          <w:sz w:val="22"/>
          <w:szCs w:val="22"/>
          <w:lang w:val="id-ID"/>
        </w:rPr>
        <w:t>pemenuhan</w:t>
      </w:r>
      <w:r>
        <w:rPr>
          <w:rFonts w:ascii="Bookman Old Style" w:hAnsi="Bookman Old Style"/>
          <w:sz w:val="22"/>
          <w:szCs w:val="22"/>
          <w:lang w:val="id-ID"/>
        </w:rPr>
        <w:t xml:space="preserve"> kewajiban peningkatan ekuitas tahap ke-1 di tahun 2026 sesuai POJK Nomor 23 Tahun 2023, berdasarkan laporan bulanan per Juni 2025</w:t>
      </w:r>
      <w:r w:rsidR="00AD066F">
        <w:rPr>
          <w:rFonts w:ascii="Bookman Old Style" w:hAnsi="Bookman Old Style"/>
          <w:sz w:val="22"/>
          <w:szCs w:val="22"/>
          <w:lang w:val="id-ID"/>
        </w:rPr>
        <w:t>,</w:t>
      </w:r>
      <w:r>
        <w:rPr>
          <w:rFonts w:ascii="Bookman Old Style" w:hAnsi="Bookman Old Style"/>
          <w:sz w:val="22"/>
          <w:szCs w:val="22"/>
          <w:lang w:val="id-ID"/>
        </w:rPr>
        <w:t xml:space="preserve"> terdapat 108 perusahaan asuransi dan reasuransi dari 144 perusahaan (75,0 persen) yang telah memenuhi jumlah minimum ekuitas yang dipersyaratkan pada tahun 2026.</w:t>
      </w:r>
      <w:r w:rsidR="00931AA2">
        <w:rPr>
          <w:rFonts w:ascii="Bookman Old Style" w:hAnsi="Bookman Old Style"/>
          <w:sz w:val="22"/>
          <w:szCs w:val="22"/>
          <w:lang w:val="id-ID"/>
        </w:rPr>
        <w:t xml:space="preserve"> </w:t>
      </w:r>
      <w:r w:rsidR="00931AA2" w:rsidRPr="000E2171">
        <w:rPr>
          <w:rFonts w:ascii="Bookman Old Style" w:hAnsi="Bookman Old Style"/>
          <w:sz w:val="22"/>
          <w:szCs w:val="22"/>
          <w:lang w:val="id-ID"/>
        </w:rPr>
        <w:t>OJK</w:t>
      </w:r>
      <w:r w:rsidR="008F7E63" w:rsidRPr="000E2171">
        <w:rPr>
          <w:rFonts w:ascii="Bookman Old Style" w:hAnsi="Bookman Old Style"/>
          <w:sz w:val="22"/>
          <w:szCs w:val="22"/>
          <w:lang w:val="id-ID"/>
        </w:rPr>
        <w:t xml:space="preserve"> akan</w:t>
      </w:r>
      <w:r w:rsidR="00931AA2" w:rsidRPr="000E2171">
        <w:rPr>
          <w:rFonts w:ascii="Bookman Old Style" w:hAnsi="Bookman Old Style"/>
          <w:sz w:val="22"/>
          <w:szCs w:val="22"/>
          <w:lang w:val="id-ID"/>
        </w:rPr>
        <w:t xml:space="preserve"> terus melakukan langkah-langkah yang diperlukan </w:t>
      </w:r>
      <w:r w:rsidR="00931AA2" w:rsidRPr="000E2171">
        <w:rPr>
          <w:rFonts w:ascii="Bookman Old Style" w:hAnsi="Bookman Old Style"/>
          <w:color w:val="000000" w:themeColor="text1"/>
          <w:sz w:val="22"/>
          <w:szCs w:val="22"/>
          <w:lang w:val="id-ID"/>
        </w:rPr>
        <w:t xml:space="preserve">berdasarkan </w:t>
      </w:r>
      <w:r w:rsidR="00931AA2" w:rsidRPr="000E2171">
        <w:rPr>
          <w:rFonts w:ascii="Bookman Old Style" w:hAnsi="Bookman Old Style"/>
          <w:i/>
          <w:iCs/>
          <w:color w:val="000000" w:themeColor="text1"/>
          <w:sz w:val="22"/>
          <w:szCs w:val="22"/>
          <w:lang w:val="id-ID"/>
        </w:rPr>
        <w:t>progress action plan</w:t>
      </w:r>
      <w:r w:rsidR="00931AA2" w:rsidRPr="000E2171">
        <w:rPr>
          <w:rFonts w:ascii="Bookman Old Style" w:hAnsi="Bookman Old Style"/>
          <w:color w:val="000000" w:themeColor="text1"/>
          <w:sz w:val="22"/>
          <w:szCs w:val="22"/>
          <w:lang w:val="id-ID"/>
        </w:rPr>
        <w:t xml:space="preserve"> upaya pemenuhan kewajiban ekuitas minimum dimaksud berupa injeksi modal dari pemegang saham, maupun dari </w:t>
      </w:r>
      <w:r w:rsidR="00931AA2" w:rsidRPr="000E2171">
        <w:rPr>
          <w:rFonts w:ascii="Bookman Old Style" w:hAnsi="Bookman Old Style"/>
          <w:i/>
          <w:color w:val="000000" w:themeColor="text1"/>
          <w:sz w:val="22"/>
          <w:szCs w:val="22"/>
          <w:lang w:val="id-ID"/>
        </w:rPr>
        <w:t>strategic investor</w:t>
      </w:r>
      <w:r w:rsidR="00931AA2" w:rsidRPr="000E2171">
        <w:rPr>
          <w:rFonts w:ascii="Bookman Old Style" w:hAnsi="Bookman Old Style"/>
          <w:color w:val="000000" w:themeColor="text1"/>
          <w:sz w:val="22"/>
          <w:szCs w:val="22"/>
          <w:lang w:val="id-ID"/>
        </w:rPr>
        <w:t xml:space="preserve"> lokal/asing yang kredibel, serta mendorong</w:t>
      </w:r>
      <w:r w:rsidR="00FF27E5" w:rsidRPr="000E2171">
        <w:rPr>
          <w:rFonts w:ascii="Bookman Old Style" w:hAnsi="Bookman Old Style"/>
          <w:color w:val="000000" w:themeColor="text1"/>
          <w:sz w:val="22"/>
          <w:szCs w:val="22"/>
          <w:lang w:val="id-ID"/>
        </w:rPr>
        <w:t xml:space="preserve"> </w:t>
      </w:r>
      <w:r w:rsidR="00931AA2" w:rsidRPr="000E2171">
        <w:rPr>
          <w:rFonts w:ascii="Bookman Old Style" w:hAnsi="Bookman Old Style"/>
          <w:color w:val="000000" w:themeColor="text1"/>
          <w:sz w:val="22"/>
          <w:szCs w:val="22"/>
          <w:lang w:val="id-ID"/>
        </w:rPr>
        <w:t>konsolidasi, termasuk pengembalian izin usaha</w:t>
      </w:r>
      <w:r w:rsidR="00931AA2" w:rsidRPr="00D6168E">
        <w:rPr>
          <w:rFonts w:ascii="Bookman Old Style" w:hAnsi="Bookman Old Style"/>
          <w:color w:val="000000" w:themeColor="text1"/>
          <w:sz w:val="22"/>
          <w:szCs w:val="22"/>
          <w:lang w:val="id-ID"/>
        </w:rPr>
        <w:t xml:space="preserve">. </w:t>
      </w:r>
    </w:p>
    <w:p w14:paraId="55B763E4" w14:textId="162BD2FD" w:rsidR="00015101" w:rsidRPr="00015101" w:rsidRDefault="00AD066F" w:rsidP="00D6168E">
      <w:pPr>
        <w:pStyle w:val="ListParagraph"/>
        <w:numPr>
          <w:ilvl w:val="0"/>
          <w:numId w:val="10"/>
        </w:numPr>
        <w:ind w:left="426"/>
        <w:jc w:val="both"/>
        <w:rPr>
          <w:rFonts w:ascii="Bookman Old Style" w:hAnsi="Bookman Old Style"/>
          <w:sz w:val="22"/>
          <w:szCs w:val="22"/>
          <w:lang w:val="id-ID"/>
        </w:rPr>
      </w:pPr>
      <w:r>
        <w:rPr>
          <w:rFonts w:ascii="Bookman Old Style" w:hAnsi="Bookman Old Style"/>
          <w:sz w:val="22"/>
          <w:szCs w:val="22"/>
          <w:lang w:val="id-ID"/>
        </w:rPr>
        <w:t>P</w:t>
      </w:r>
      <w:r w:rsidR="00015101" w:rsidRPr="00015101">
        <w:rPr>
          <w:rFonts w:ascii="Bookman Old Style" w:hAnsi="Bookman Old Style"/>
          <w:sz w:val="22"/>
          <w:szCs w:val="22"/>
          <w:lang w:val="id-ID"/>
        </w:rPr>
        <w:t>enertiban kegiatan keperantaraan di bidang perasuransian yang tidak sesuai dengan jenis usaha, termasuk pialang dan agen asuransi. Penegakan hukum pidana dilakukan kepada perusahaan yang meyelenggarakan usaha pialang asuransi tanpa izin (ilegal) serta sanksi administratif kepada perusahaan asuransi yang bekerja sama dengan perusahaan pialang ilegal tersebut. Penindakan juga dilakukan terhadap agen-agen dari beberapa perusahaan yang beroperasi layaknya pialang. Selain itu, penegakan hukum atas penggelapan premi oleh pialang asuransi resmi juga telah dilaksanakan.</w:t>
      </w:r>
    </w:p>
    <w:p w14:paraId="1E3283BD" w14:textId="57E04373" w:rsidR="00094725" w:rsidRDefault="00873190" w:rsidP="00F9390E">
      <w:pPr>
        <w:pStyle w:val="ListParagraph"/>
        <w:numPr>
          <w:ilvl w:val="0"/>
          <w:numId w:val="10"/>
        </w:numPr>
        <w:spacing w:after="0"/>
        <w:ind w:left="425" w:hanging="357"/>
        <w:contextualSpacing w:val="0"/>
        <w:jc w:val="both"/>
        <w:rPr>
          <w:rFonts w:ascii="Bookman Old Style" w:hAnsi="Bookman Old Style"/>
          <w:sz w:val="22"/>
          <w:szCs w:val="22"/>
          <w:lang w:val="id-ID"/>
        </w:rPr>
      </w:pPr>
      <w:r>
        <w:rPr>
          <w:rFonts w:ascii="Bookman Old Style" w:hAnsi="Bookman Old Style"/>
          <w:sz w:val="22"/>
          <w:szCs w:val="22"/>
          <w:lang w:val="id-ID"/>
        </w:rPr>
        <w:t>M</w:t>
      </w:r>
      <w:r w:rsidR="00094725" w:rsidRPr="00094725">
        <w:rPr>
          <w:rFonts w:ascii="Bookman Old Style" w:hAnsi="Bookman Old Style"/>
          <w:sz w:val="22"/>
          <w:szCs w:val="22"/>
          <w:lang w:val="id-ID"/>
        </w:rPr>
        <w:t xml:space="preserve">elakukan berbagai upaya mendorong penyelesaian permasalahan pada </w:t>
      </w:r>
      <w:r w:rsidR="0017514B">
        <w:rPr>
          <w:rFonts w:ascii="Bookman Old Style" w:hAnsi="Bookman Old Style"/>
          <w:sz w:val="22"/>
          <w:szCs w:val="22"/>
          <w:lang w:val="id-ID"/>
        </w:rPr>
        <w:t>Lembaga Jasa Keuangan (</w:t>
      </w:r>
      <w:r w:rsidR="00094725" w:rsidRPr="00094725">
        <w:rPr>
          <w:rFonts w:ascii="Bookman Old Style" w:hAnsi="Bookman Old Style"/>
          <w:sz w:val="22"/>
          <w:szCs w:val="22"/>
          <w:lang w:val="id-ID"/>
        </w:rPr>
        <w:t>LJK</w:t>
      </w:r>
      <w:r w:rsidR="0017514B">
        <w:rPr>
          <w:rFonts w:ascii="Bookman Old Style" w:hAnsi="Bookman Old Style"/>
          <w:sz w:val="22"/>
          <w:szCs w:val="22"/>
          <w:lang w:val="id-ID"/>
        </w:rPr>
        <w:t>)</w:t>
      </w:r>
      <w:r w:rsidR="00094725" w:rsidRPr="00094725">
        <w:rPr>
          <w:rFonts w:ascii="Bookman Old Style" w:hAnsi="Bookman Old Style"/>
          <w:sz w:val="22"/>
          <w:szCs w:val="22"/>
          <w:lang w:val="id-ID"/>
        </w:rPr>
        <w:t xml:space="preserve"> melalui pengawasan khusus yang sampai dengan 30 Juli 2025 dilakukan terhadap 6 perusahaan asuransi dan reasuransi dengan harapan perusahaan dapat memperbaiki kondisi keuangannya untuk kepentingan pemegang polis. Selain itu juga terdapat 9 Dana Pensiun yang masuk dalam pengawasan khusus.</w:t>
      </w:r>
    </w:p>
    <w:p w14:paraId="51887801" w14:textId="681A6B5A" w:rsidR="00A428BB" w:rsidRDefault="00A428BB" w:rsidP="00A428BB">
      <w:pPr>
        <w:spacing w:after="0"/>
        <w:jc w:val="both"/>
        <w:rPr>
          <w:rFonts w:ascii="Bookman Old Style" w:hAnsi="Bookman Old Style"/>
          <w:sz w:val="22"/>
          <w:szCs w:val="22"/>
          <w:lang w:val="id-ID"/>
        </w:rPr>
      </w:pPr>
    </w:p>
    <w:p w14:paraId="58955C0C" w14:textId="74F917F7" w:rsidR="00A428BB" w:rsidRDefault="00A428BB" w:rsidP="00A428BB">
      <w:pPr>
        <w:spacing w:after="0"/>
        <w:jc w:val="both"/>
        <w:rPr>
          <w:rFonts w:ascii="Bookman Old Style" w:hAnsi="Bookman Old Style"/>
          <w:sz w:val="22"/>
          <w:szCs w:val="22"/>
          <w:lang w:val="id-ID"/>
        </w:rPr>
      </w:pPr>
    </w:p>
    <w:p w14:paraId="1319563F" w14:textId="4E0E5792" w:rsidR="00A428BB" w:rsidRDefault="00A428BB" w:rsidP="00A428BB">
      <w:pPr>
        <w:spacing w:after="0"/>
        <w:jc w:val="both"/>
        <w:rPr>
          <w:rFonts w:ascii="Bookman Old Style" w:hAnsi="Bookman Old Style"/>
          <w:sz w:val="22"/>
          <w:szCs w:val="22"/>
          <w:lang w:val="id-ID"/>
        </w:rPr>
      </w:pPr>
    </w:p>
    <w:p w14:paraId="17426E15" w14:textId="6A85E0A3" w:rsidR="00A428BB" w:rsidRDefault="00A428BB" w:rsidP="00A428BB">
      <w:pPr>
        <w:spacing w:after="0"/>
        <w:jc w:val="both"/>
        <w:rPr>
          <w:rFonts w:ascii="Bookman Old Style" w:hAnsi="Bookman Old Style"/>
          <w:sz w:val="22"/>
          <w:szCs w:val="22"/>
          <w:lang w:val="id-ID"/>
        </w:rPr>
      </w:pPr>
    </w:p>
    <w:p w14:paraId="2D07B238" w14:textId="1B4CE27E" w:rsidR="00A428BB" w:rsidRDefault="00A428BB" w:rsidP="00A428BB">
      <w:pPr>
        <w:spacing w:after="0"/>
        <w:jc w:val="both"/>
        <w:rPr>
          <w:rFonts w:ascii="Bookman Old Style" w:hAnsi="Bookman Old Style"/>
          <w:sz w:val="22"/>
          <w:szCs w:val="22"/>
          <w:lang w:val="id-ID"/>
        </w:rPr>
      </w:pPr>
    </w:p>
    <w:p w14:paraId="6F99AE92" w14:textId="77777777" w:rsidR="00A428BB" w:rsidRPr="00A428BB" w:rsidRDefault="00A428BB" w:rsidP="00A428BB">
      <w:pPr>
        <w:spacing w:after="0"/>
        <w:jc w:val="both"/>
        <w:rPr>
          <w:rFonts w:ascii="Bookman Old Style" w:hAnsi="Bookman Old Style"/>
          <w:sz w:val="22"/>
          <w:szCs w:val="22"/>
          <w:lang w:val="id-ID"/>
        </w:rPr>
      </w:pPr>
    </w:p>
    <w:p w14:paraId="5DDD277E" w14:textId="795985E3" w:rsidR="00DB5475" w:rsidRPr="007F541B" w:rsidRDefault="00DB5475" w:rsidP="00D6168E">
      <w:pPr>
        <w:spacing w:before="120" w:line="259" w:lineRule="auto"/>
        <w:jc w:val="both"/>
        <w:rPr>
          <w:rFonts w:ascii="Bookman Old Style" w:hAnsi="Bookman Old Style"/>
          <w:b/>
          <w:sz w:val="22"/>
          <w:szCs w:val="22"/>
          <w:lang w:val="id-ID"/>
        </w:rPr>
      </w:pPr>
      <w:r w:rsidRPr="007F541B">
        <w:rPr>
          <w:rFonts w:ascii="Bookman Old Style" w:hAnsi="Bookman Old Style"/>
          <w:b/>
          <w:sz w:val="22"/>
          <w:szCs w:val="22"/>
          <w:lang w:val="id-ID"/>
        </w:rPr>
        <w:lastRenderedPageBreak/>
        <w:t>Perkembangan Sektor Lembaga Pembiayaan, Perusahaan Modal Ventura, Lembaga Keuangan Mikro, dan Lembaga Jasa Keuangan Lainnya (PVML)</w:t>
      </w:r>
    </w:p>
    <w:p w14:paraId="0840E737" w14:textId="03B42BBF" w:rsidR="00DB5475" w:rsidRPr="007F541B" w:rsidRDefault="004915F8" w:rsidP="00DB5475">
      <w:pPr>
        <w:spacing w:line="276" w:lineRule="auto"/>
        <w:jc w:val="both"/>
        <w:rPr>
          <w:rFonts w:ascii="Bookman Old Style" w:hAnsi="Bookman Old Style"/>
          <w:sz w:val="22"/>
          <w:szCs w:val="22"/>
          <w:lang w:val="id-ID"/>
        </w:rPr>
      </w:pPr>
      <w:r w:rsidRPr="004915F8">
        <w:rPr>
          <w:noProof/>
        </w:rPr>
        <w:drawing>
          <wp:inline distT="0" distB="0" distL="0" distR="0" wp14:anchorId="04A7B2CF" wp14:editId="3C9F8744">
            <wp:extent cx="5731510" cy="1486535"/>
            <wp:effectExtent l="0" t="0" r="2540" b="0"/>
            <wp:docPr id="2268544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1486535"/>
                    </a:xfrm>
                    <a:prstGeom prst="rect">
                      <a:avLst/>
                    </a:prstGeom>
                    <a:noFill/>
                    <a:ln>
                      <a:noFill/>
                    </a:ln>
                  </pic:spPr>
                </pic:pic>
              </a:graphicData>
            </a:graphic>
          </wp:inline>
        </w:drawing>
      </w:r>
      <w:r w:rsidRPr="000E2171" w:rsidDel="004915F8">
        <w:rPr>
          <w:lang w:val="id-ID"/>
        </w:rPr>
        <w:t xml:space="preserve"> </w:t>
      </w:r>
    </w:p>
    <w:p w14:paraId="3CF2E5AC" w14:textId="22605D76" w:rsidR="00DB5475" w:rsidRPr="007F541B" w:rsidRDefault="00DB5475" w:rsidP="00DB5475">
      <w:pPr>
        <w:spacing w:after="120" w:line="276" w:lineRule="auto"/>
        <w:jc w:val="both"/>
        <w:rPr>
          <w:rFonts w:ascii="Bookman Old Style" w:hAnsi="Bookman Old Style"/>
          <w:sz w:val="22"/>
          <w:szCs w:val="22"/>
          <w:lang w:val="id-ID"/>
        </w:rPr>
      </w:pPr>
      <w:r w:rsidRPr="007F541B">
        <w:rPr>
          <w:rFonts w:ascii="Bookman Old Style" w:hAnsi="Bookman Old Style"/>
          <w:sz w:val="22"/>
          <w:szCs w:val="22"/>
          <w:lang w:val="id-ID"/>
        </w:rPr>
        <w:t xml:space="preserve">Di sektor PVML, piutang pembiayaan Perusahaan Pembiayaan (PP) tumbuh </w:t>
      </w:r>
      <w:r w:rsidR="00066C73" w:rsidRPr="007F541B">
        <w:rPr>
          <w:rFonts w:ascii="Bookman Old Style" w:hAnsi="Bookman Old Style"/>
          <w:sz w:val="22"/>
          <w:szCs w:val="22"/>
          <w:lang w:val="id-ID"/>
        </w:rPr>
        <w:t>1,96</w:t>
      </w:r>
      <w:r w:rsidRPr="007F541B">
        <w:rPr>
          <w:rFonts w:ascii="Bookman Old Style" w:hAnsi="Bookman Old Style"/>
          <w:sz w:val="22"/>
          <w:szCs w:val="22"/>
          <w:lang w:val="id-ID"/>
        </w:rPr>
        <w:t xml:space="preserve"> persen </w:t>
      </w:r>
      <w:r w:rsidRPr="007F541B">
        <w:rPr>
          <w:rFonts w:ascii="Bookman Old Style" w:hAnsi="Bookman Old Style"/>
          <w:i/>
          <w:sz w:val="22"/>
          <w:szCs w:val="22"/>
          <w:lang w:val="id-ID"/>
        </w:rPr>
        <w:t>yoy</w:t>
      </w:r>
      <w:r w:rsidRPr="007F541B">
        <w:rPr>
          <w:rFonts w:ascii="Bookman Old Style" w:hAnsi="Bookman Old Style"/>
          <w:sz w:val="22"/>
          <w:szCs w:val="22"/>
          <w:lang w:val="id-ID"/>
        </w:rPr>
        <w:t xml:space="preserve"> pada </w:t>
      </w:r>
      <w:r w:rsidR="00066C73" w:rsidRPr="007F541B">
        <w:rPr>
          <w:rFonts w:ascii="Bookman Old Style" w:hAnsi="Bookman Old Style"/>
          <w:sz w:val="22"/>
          <w:szCs w:val="22"/>
          <w:lang w:val="id-ID"/>
        </w:rPr>
        <w:t>Juni</w:t>
      </w:r>
      <w:r w:rsidRPr="007F541B">
        <w:rPr>
          <w:rFonts w:ascii="Bookman Old Style" w:hAnsi="Bookman Old Style"/>
          <w:sz w:val="22"/>
          <w:szCs w:val="22"/>
          <w:lang w:val="id-ID"/>
        </w:rPr>
        <w:t xml:space="preserve"> 2025 (Mei 2025: </w:t>
      </w:r>
      <w:r w:rsidR="00066C73" w:rsidRPr="007F541B">
        <w:rPr>
          <w:rFonts w:ascii="Bookman Old Style" w:hAnsi="Bookman Old Style"/>
          <w:sz w:val="22"/>
          <w:szCs w:val="22"/>
          <w:lang w:val="id-ID"/>
        </w:rPr>
        <w:t>2,83</w:t>
      </w:r>
      <w:r w:rsidRPr="007F541B">
        <w:rPr>
          <w:rFonts w:ascii="Bookman Old Style" w:hAnsi="Bookman Old Style"/>
          <w:sz w:val="22"/>
          <w:szCs w:val="22"/>
          <w:lang w:val="id-ID"/>
        </w:rPr>
        <w:t xml:space="preserve"> persen </w:t>
      </w:r>
      <w:r w:rsidRPr="007F541B">
        <w:rPr>
          <w:rFonts w:ascii="Bookman Old Style" w:hAnsi="Bookman Old Style"/>
          <w:i/>
          <w:sz w:val="22"/>
          <w:szCs w:val="22"/>
          <w:lang w:val="id-ID"/>
        </w:rPr>
        <w:t>yoy</w:t>
      </w:r>
      <w:r w:rsidRPr="007F541B">
        <w:rPr>
          <w:rFonts w:ascii="Bookman Old Style" w:hAnsi="Bookman Old Style"/>
          <w:sz w:val="22"/>
          <w:szCs w:val="22"/>
          <w:lang w:val="id-ID"/>
        </w:rPr>
        <w:t>) menjadi Rp50</w:t>
      </w:r>
      <w:r w:rsidR="0065328F" w:rsidRPr="007F541B">
        <w:rPr>
          <w:rFonts w:ascii="Bookman Old Style" w:hAnsi="Bookman Old Style"/>
          <w:sz w:val="22"/>
          <w:szCs w:val="22"/>
          <w:lang w:val="id-ID"/>
        </w:rPr>
        <w:t>1</w:t>
      </w:r>
      <w:r w:rsidRPr="007F541B">
        <w:rPr>
          <w:rFonts w:ascii="Bookman Old Style" w:hAnsi="Bookman Old Style"/>
          <w:sz w:val="22"/>
          <w:szCs w:val="22"/>
          <w:lang w:val="id-ID"/>
        </w:rPr>
        <w:t>,</w:t>
      </w:r>
      <w:r w:rsidR="0065328F" w:rsidRPr="007F541B">
        <w:rPr>
          <w:rFonts w:ascii="Bookman Old Style" w:hAnsi="Bookman Old Style"/>
          <w:sz w:val="22"/>
          <w:szCs w:val="22"/>
          <w:lang w:val="id-ID"/>
        </w:rPr>
        <w:t>83</w:t>
      </w:r>
      <w:r w:rsidRPr="007F541B">
        <w:rPr>
          <w:rFonts w:ascii="Bookman Old Style" w:hAnsi="Bookman Old Style"/>
          <w:sz w:val="22"/>
          <w:szCs w:val="22"/>
          <w:lang w:val="id-ID"/>
        </w:rPr>
        <w:t xml:space="preserve"> triliun, didukung pembiayaan </w:t>
      </w:r>
      <w:r w:rsidR="00F00C24" w:rsidRPr="007F541B">
        <w:rPr>
          <w:rFonts w:ascii="Bookman Old Style" w:hAnsi="Bookman Old Style"/>
          <w:sz w:val="22"/>
          <w:szCs w:val="22"/>
          <w:lang w:val="id-ID"/>
        </w:rPr>
        <w:t>investasi</w:t>
      </w:r>
      <w:r w:rsidRPr="007F541B">
        <w:rPr>
          <w:rFonts w:ascii="Bookman Old Style" w:hAnsi="Bookman Old Style"/>
          <w:sz w:val="22"/>
          <w:szCs w:val="22"/>
          <w:lang w:val="id-ID"/>
        </w:rPr>
        <w:t xml:space="preserve"> yang tumbuh sebesar </w:t>
      </w:r>
      <w:r w:rsidR="00EB4F79" w:rsidRPr="007F541B">
        <w:rPr>
          <w:rFonts w:ascii="Bookman Old Style" w:hAnsi="Bookman Old Style"/>
          <w:sz w:val="22"/>
          <w:szCs w:val="22"/>
          <w:lang w:val="id-ID"/>
        </w:rPr>
        <w:t>8,16</w:t>
      </w:r>
      <w:r w:rsidRPr="007F541B">
        <w:rPr>
          <w:rFonts w:ascii="Bookman Old Style" w:hAnsi="Bookman Old Style"/>
          <w:sz w:val="22"/>
          <w:szCs w:val="22"/>
          <w:lang w:val="id-ID"/>
        </w:rPr>
        <w:t xml:space="preserve"> persen </w:t>
      </w:r>
      <w:r w:rsidRPr="007F541B">
        <w:rPr>
          <w:rFonts w:ascii="Bookman Old Style" w:hAnsi="Bookman Old Style"/>
          <w:i/>
          <w:sz w:val="22"/>
          <w:szCs w:val="22"/>
          <w:lang w:val="id-ID"/>
        </w:rPr>
        <w:t>yoy</w:t>
      </w:r>
      <w:r w:rsidRPr="007F541B">
        <w:rPr>
          <w:rFonts w:ascii="Bookman Old Style" w:hAnsi="Bookman Old Style"/>
          <w:sz w:val="22"/>
          <w:szCs w:val="22"/>
          <w:lang w:val="id-ID"/>
        </w:rPr>
        <w:t>.</w:t>
      </w:r>
    </w:p>
    <w:p w14:paraId="4D61D645" w14:textId="31FEFFE0" w:rsidR="00DB5475" w:rsidRPr="007F541B" w:rsidRDefault="00DB5475" w:rsidP="00DB5475">
      <w:pPr>
        <w:spacing w:after="120" w:line="276" w:lineRule="auto"/>
        <w:jc w:val="both"/>
        <w:rPr>
          <w:rFonts w:ascii="Bookman Old Style" w:hAnsi="Bookman Old Style"/>
          <w:sz w:val="22"/>
          <w:szCs w:val="22"/>
          <w:lang w:val="id-ID"/>
        </w:rPr>
      </w:pPr>
      <w:r w:rsidRPr="007F541B">
        <w:rPr>
          <w:rFonts w:ascii="Bookman Old Style" w:hAnsi="Bookman Old Style"/>
          <w:sz w:val="22"/>
          <w:szCs w:val="22"/>
          <w:lang w:val="id-ID"/>
        </w:rPr>
        <w:t xml:space="preserve">Profil risiko Perusahaan Pembiayaan (PP) terjaga dengan rasio </w:t>
      </w:r>
      <w:r w:rsidRPr="007F541B">
        <w:rPr>
          <w:rFonts w:ascii="Bookman Old Style" w:hAnsi="Bookman Old Style"/>
          <w:i/>
          <w:sz w:val="22"/>
          <w:szCs w:val="22"/>
          <w:lang w:val="id-ID"/>
        </w:rPr>
        <w:t>Non Performing Financing</w:t>
      </w:r>
      <w:r w:rsidRPr="007F541B">
        <w:rPr>
          <w:rFonts w:ascii="Bookman Old Style" w:hAnsi="Bookman Old Style"/>
          <w:sz w:val="22"/>
          <w:szCs w:val="22"/>
          <w:lang w:val="id-ID"/>
        </w:rPr>
        <w:t xml:space="preserve"> (NPF) </w:t>
      </w:r>
      <w:r w:rsidRPr="007F541B">
        <w:rPr>
          <w:rFonts w:ascii="Bookman Old Style" w:hAnsi="Bookman Old Style"/>
          <w:i/>
          <w:sz w:val="22"/>
          <w:szCs w:val="22"/>
          <w:lang w:val="id-ID"/>
        </w:rPr>
        <w:t>gross</w:t>
      </w:r>
      <w:r w:rsidRPr="007F541B">
        <w:rPr>
          <w:rFonts w:ascii="Bookman Old Style" w:hAnsi="Bookman Old Style"/>
          <w:sz w:val="22"/>
          <w:szCs w:val="22"/>
          <w:lang w:val="id-ID"/>
        </w:rPr>
        <w:t xml:space="preserve"> tercatat sebesar 2,</w:t>
      </w:r>
      <w:r w:rsidR="00800455" w:rsidRPr="007F541B">
        <w:rPr>
          <w:rFonts w:ascii="Bookman Old Style" w:hAnsi="Bookman Old Style"/>
          <w:sz w:val="22"/>
          <w:szCs w:val="22"/>
          <w:lang w:val="id-ID"/>
        </w:rPr>
        <w:t>55</w:t>
      </w:r>
      <w:r w:rsidRPr="007F541B">
        <w:rPr>
          <w:rFonts w:ascii="Bookman Old Style" w:hAnsi="Bookman Old Style"/>
          <w:sz w:val="22"/>
          <w:szCs w:val="22"/>
          <w:lang w:val="id-ID"/>
        </w:rPr>
        <w:t xml:space="preserve"> persen (</w:t>
      </w:r>
      <w:r w:rsidR="00800455" w:rsidRPr="007F541B">
        <w:rPr>
          <w:rFonts w:ascii="Bookman Old Style" w:hAnsi="Bookman Old Style"/>
          <w:sz w:val="22"/>
          <w:szCs w:val="22"/>
          <w:lang w:val="id-ID"/>
        </w:rPr>
        <w:t>Mei</w:t>
      </w:r>
      <w:r w:rsidRPr="007F541B">
        <w:rPr>
          <w:rFonts w:ascii="Bookman Old Style" w:hAnsi="Bookman Old Style"/>
          <w:sz w:val="22"/>
          <w:szCs w:val="22"/>
          <w:lang w:val="id-ID"/>
        </w:rPr>
        <w:t xml:space="preserve"> 2025: 2,</w:t>
      </w:r>
      <w:r w:rsidR="00800455" w:rsidRPr="007F541B">
        <w:rPr>
          <w:rFonts w:ascii="Bookman Old Style" w:hAnsi="Bookman Old Style"/>
          <w:sz w:val="22"/>
          <w:szCs w:val="22"/>
          <w:lang w:val="id-ID"/>
        </w:rPr>
        <w:t>57</w:t>
      </w:r>
      <w:r w:rsidRPr="007F541B">
        <w:rPr>
          <w:rFonts w:ascii="Bookman Old Style" w:hAnsi="Bookman Old Style"/>
          <w:sz w:val="22"/>
          <w:szCs w:val="22"/>
          <w:lang w:val="id-ID"/>
        </w:rPr>
        <w:t xml:space="preserve"> persen) dan NPF net 0,88 persen (</w:t>
      </w:r>
      <w:r w:rsidR="00800455" w:rsidRPr="007F541B">
        <w:rPr>
          <w:rFonts w:ascii="Bookman Old Style" w:hAnsi="Bookman Old Style"/>
          <w:sz w:val="22"/>
          <w:szCs w:val="22"/>
          <w:lang w:val="id-ID"/>
        </w:rPr>
        <w:t>Mei</w:t>
      </w:r>
      <w:r w:rsidRPr="007F541B">
        <w:rPr>
          <w:rFonts w:ascii="Bookman Old Style" w:hAnsi="Bookman Old Style"/>
          <w:sz w:val="22"/>
          <w:szCs w:val="22"/>
          <w:lang w:val="id-ID"/>
        </w:rPr>
        <w:t xml:space="preserve"> 2025: 0,8</w:t>
      </w:r>
      <w:r w:rsidR="00800455" w:rsidRPr="007F541B">
        <w:rPr>
          <w:rFonts w:ascii="Bookman Old Style" w:hAnsi="Bookman Old Style"/>
          <w:sz w:val="22"/>
          <w:szCs w:val="22"/>
          <w:lang w:val="id-ID"/>
        </w:rPr>
        <w:t>8</w:t>
      </w:r>
      <w:r w:rsidRPr="007F541B">
        <w:rPr>
          <w:rFonts w:ascii="Bookman Old Style" w:hAnsi="Bookman Old Style"/>
          <w:sz w:val="22"/>
          <w:szCs w:val="22"/>
          <w:lang w:val="id-ID"/>
        </w:rPr>
        <w:t xml:space="preserve"> persen). </w:t>
      </w:r>
      <w:r w:rsidRPr="007F541B">
        <w:rPr>
          <w:rFonts w:ascii="Bookman Old Style" w:hAnsi="Bookman Old Style"/>
          <w:i/>
          <w:sz w:val="22"/>
          <w:szCs w:val="22"/>
          <w:lang w:val="id-ID"/>
        </w:rPr>
        <w:t>Gearing ratio</w:t>
      </w:r>
      <w:r w:rsidRPr="007F541B">
        <w:rPr>
          <w:rFonts w:ascii="Bookman Old Style" w:hAnsi="Bookman Old Style"/>
          <w:sz w:val="22"/>
          <w:szCs w:val="22"/>
          <w:lang w:val="id-ID"/>
        </w:rPr>
        <w:t xml:space="preserve"> PP tercatat sebesar 2,2</w:t>
      </w:r>
      <w:r w:rsidR="00F74E1D" w:rsidRPr="007F541B">
        <w:rPr>
          <w:rFonts w:ascii="Bookman Old Style" w:hAnsi="Bookman Old Style"/>
          <w:sz w:val="22"/>
          <w:szCs w:val="22"/>
          <w:lang w:val="id-ID"/>
        </w:rPr>
        <w:t>4</w:t>
      </w:r>
      <w:r w:rsidRPr="007F541B">
        <w:rPr>
          <w:rFonts w:ascii="Bookman Old Style" w:hAnsi="Bookman Old Style"/>
          <w:sz w:val="22"/>
          <w:szCs w:val="22"/>
          <w:lang w:val="id-ID"/>
        </w:rPr>
        <w:t xml:space="preserve"> kali (</w:t>
      </w:r>
      <w:r w:rsidR="00F74E1D" w:rsidRPr="007F541B">
        <w:rPr>
          <w:rFonts w:ascii="Bookman Old Style" w:hAnsi="Bookman Old Style"/>
          <w:sz w:val="22"/>
          <w:szCs w:val="22"/>
          <w:lang w:val="id-ID"/>
        </w:rPr>
        <w:t>Mei</w:t>
      </w:r>
      <w:r w:rsidRPr="007F541B">
        <w:rPr>
          <w:rFonts w:ascii="Bookman Old Style" w:hAnsi="Bookman Old Style"/>
          <w:sz w:val="22"/>
          <w:szCs w:val="22"/>
          <w:lang w:val="id-ID"/>
        </w:rPr>
        <w:t xml:space="preserve"> 2025: 2,2</w:t>
      </w:r>
      <w:r w:rsidR="00F74E1D" w:rsidRPr="007F541B">
        <w:rPr>
          <w:rFonts w:ascii="Bookman Old Style" w:hAnsi="Bookman Old Style"/>
          <w:sz w:val="22"/>
          <w:szCs w:val="22"/>
          <w:lang w:val="id-ID"/>
        </w:rPr>
        <w:t>0</w:t>
      </w:r>
      <w:r w:rsidRPr="007F541B">
        <w:rPr>
          <w:rFonts w:ascii="Bookman Old Style" w:hAnsi="Bookman Old Style"/>
          <w:sz w:val="22"/>
          <w:szCs w:val="22"/>
          <w:lang w:val="id-ID"/>
        </w:rPr>
        <w:t xml:space="preserve"> kali) dan berada di bawah batas maksimum sebesar 10 kali.</w:t>
      </w:r>
    </w:p>
    <w:p w14:paraId="3D65E64A" w14:textId="5E618C48" w:rsidR="00DB5475" w:rsidRPr="007F541B" w:rsidRDefault="00DB5475" w:rsidP="00DB5475">
      <w:pPr>
        <w:spacing w:after="120" w:line="276" w:lineRule="auto"/>
        <w:jc w:val="both"/>
        <w:rPr>
          <w:rFonts w:ascii="Bookman Old Style" w:hAnsi="Bookman Old Style"/>
          <w:sz w:val="22"/>
          <w:szCs w:val="22"/>
          <w:lang w:val="id-ID"/>
        </w:rPr>
      </w:pPr>
      <w:r w:rsidRPr="007F541B">
        <w:rPr>
          <w:rFonts w:ascii="Bookman Old Style" w:hAnsi="Bookman Old Style"/>
          <w:sz w:val="22"/>
          <w:szCs w:val="22"/>
          <w:lang w:val="id-ID"/>
        </w:rPr>
        <w:t xml:space="preserve">Pembiayaan modal ventura di </w:t>
      </w:r>
      <w:r w:rsidR="005C0223" w:rsidRPr="007F541B">
        <w:rPr>
          <w:rFonts w:ascii="Bookman Old Style" w:hAnsi="Bookman Old Style"/>
          <w:sz w:val="22"/>
          <w:szCs w:val="22"/>
          <w:lang w:val="id-ID"/>
        </w:rPr>
        <w:t>Juni</w:t>
      </w:r>
      <w:r w:rsidRPr="007F541B">
        <w:rPr>
          <w:rFonts w:ascii="Bookman Old Style" w:hAnsi="Bookman Old Style"/>
          <w:sz w:val="22"/>
          <w:szCs w:val="22"/>
          <w:lang w:val="id-ID"/>
        </w:rPr>
        <w:t xml:space="preserve"> 2025 tumbuh sebesar 0,8</w:t>
      </w:r>
      <w:r w:rsidR="0010150A" w:rsidRPr="007F541B">
        <w:rPr>
          <w:rFonts w:ascii="Bookman Old Style" w:hAnsi="Bookman Old Style"/>
          <w:sz w:val="22"/>
          <w:szCs w:val="22"/>
          <w:lang w:val="id-ID"/>
        </w:rPr>
        <w:t>4</w:t>
      </w:r>
      <w:r w:rsidRPr="007F541B">
        <w:rPr>
          <w:rFonts w:ascii="Bookman Old Style" w:hAnsi="Bookman Old Style"/>
          <w:sz w:val="22"/>
          <w:szCs w:val="22"/>
          <w:lang w:val="id-ID"/>
        </w:rPr>
        <w:t xml:space="preserve"> persen </w:t>
      </w:r>
      <w:r w:rsidRPr="007F541B">
        <w:rPr>
          <w:rFonts w:ascii="Bookman Old Style" w:hAnsi="Bookman Old Style"/>
          <w:i/>
          <w:sz w:val="22"/>
          <w:szCs w:val="22"/>
          <w:lang w:val="id-ID"/>
        </w:rPr>
        <w:t>yoy</w:t>
      </w:r>
      <w:r w:rsidRPr="007F541B">
        <w:rPr>
          <w:rFonts w:ascii="Bookman Old Style" w:hAnsi="Bookman Old Style"/>
          <w:sz w:val="22"/>
          <w:szCs w:val="22"/>
          <w:lang w:val="id-ID"/>
        </w:rPr>
        <w:t xml:space="preserve"> (</w:t>
      </w:r>
      <w:r w:rsidR="0010150A" w:rsidRPr="007F541B">
        <w:rPr>
          <w:rFonts w:ascii="Bookman Old Style" w:hAnsi="Bookman Old Style"/>
          <w:sz w:val="22"/>
          <w:szCs w:val="22"/>
          <w:lang w:val="id-ID"/>
        </w:rPr>
        <w:t>Mei</w:t>
      </w:r>
      <w:r w:rsidRPr="007F541B">
        <w:rPr>
          <w:rFonts w:ascii="Bookman Old Style" w:hAnsi="Bookman Old Style"/>
          <w:sz w:val="22"/>
          <w:szCs w:val="22"/>
          <w:lang w:val="id-ID"/>
        </w:rPr>
        <w:t xml:space="preserve"> 2025: </w:t>
      </w:r>
      <w:r w:rsidR="0010150A" w:rsidRPr="007F541B">
        <w:rPr>
          <w:rFonts w:ascii="Bookman Old Style" w:hAnsi="Bookman Old Style"/>
          <w:sz w:val="22"/>
          <w:szCs w:val="22"/>
          <w:lang w:val="id-ID"/>
        </w:rPr>
        <w:t>0,</w:t>
      </w:r>
      <w:r w:rsidRPr="007F541B">
        <w:rPr>
          <w:rFonts w:ascii="Bookman Old Style" w:hAnsi="Bookman Old Style"/>
          <w:sz w:val="22"/>
          <w:szCs w:val="22"/>
          <w:lang w:val="id-ID"/>
        </w:rPr>
        <w:t xml:space="preserve">88 persen </w:t>
      </w:r>
      <w:r w:rsidRPr="007F541B">
        <w:rPr>
          <w:rFonts w:ascii="Bookman Old Style" w:hAnsi="Bookman Old Style"/>
          <w:i/>
          <w:sz w:val="22"/>
          <w:szCs w:val="22"/>
          <w:lang w:val="id-ID"/>
        </w:rPr>
        <w:t>yoy</w:t>
      </w:r>
      <w:r w:rsidRPr="007F541B">
        <w:rPr>
          <w:rFonts w:ascii="Bookman Old Style" w:hAnsi="Bookman Old Style"/>
          <w:sz w:val="22"/>
          <w:szCs w:val="22"/>
          <w:lang w:val="id-ID"/>
        </w:rPr>
        <w:t xml:space="preserve">), dengan nilai pembiayaan tercatat </w:t>
      </w:r>
      <w:r w:rsidR="0096003A">
        <w:rPr>
          <w:rFonts w:ascii="Bookman Old Style" w:hAnsi="Bookman Old Style"/>
          <w:sz w:val="22"/>
          <w:szCs w:val="22"/>
          <w:lang w:val="id-ID"/>
        </w:rPr>
        <w:t xml:space="preserve">stabil </w:t>
      </w:r>
      <w:r w:rsidRPr="007F541B">
        <w:rPr>
          <w:rFonts w:ascii="Bookman Old Style" w:hAnsi="Bookman Old Style"/>
          <w:sz w:val="22"/>
          <w:szCs w:val="22"/>
          <w:lang w:val="id-ID"/>
        </w:rPr>
        <w:t>Rp16,35 triliun (</w:t>
      </w:r>
      <w:r w:rsidR="00123C7C" w:rsidRPr="007F541B">
        <w:rPr>
          <w:rFonts w:ascii="Bookman Old Style" w:hAnsi="Bookman Old Style"/>
          <w:sz w:val="22"/>
          <w:szCs w:val="22"/>
          <w:lang w:val="id-ID"/>
        </w:rPr>
        <w:t>Mei</w:t>
      </w:r>
      <w:r w:rsidRPr="007F541B">
        <w:rPr>
          <w:rFonts w:ascii="Bookman Old Style" w:hAnsi="Bookman Old Style"/>
          <w:sz w:val="22"/>
          <w:szCs w:val="22"/>
          <w:lang w:val="id-ID"/>
        </w:rPr>
        <w:t xml:space="preserve"> 2025: Rp16,</w:t>
      </w:r>
      <w:r w:rsidR="00123C7C" w:rsidRPr="007F541B">
        <w:rPr>
          <w:rFonts w:ascii="Bookman Old Style" w:hAnsi="Bookman Old Style"/>
          <w:sz w:val="22"/>
          <w:szCs w:val="22"/>
          <w:lang w:val="id-ID"/>
        </w:rPr>
        <w:t>35</w:t>
      </w:r>
      <w:r w:rsidRPr="007F541B">
        <w:rPr>
          <w:rFonts w:ascii="Bookman Old Style" w:hAnsi="Bookman Old Style"/>
          <w:sz w:val="22"/>
          <w:szCs w:val="22"/>
          <w:lang w:val="id-ID"/>
        </w:rPr>
        <w:t xml:space="preserve"> triliun).</w:t>
      </w:r>
    </w:p>
    <w:p w14:paraId="09407AD4" w14:textId="2DF11B91" w:rsidR="00DB5475" w:rsidRPr="007F541B" w:rsidRDefault="00DB5475" w:rsidP="00DB5475">
      <w:pPr>
        <w:spacing w:after="120" w:line="276" w:lineRule="auto"/>
        <w:jc w:val="both"/>
        <w:rPr>
          <w:rFonts w:ascii="Bookman Old Style" w:hAnsi="Bookman Old Style"/>
          <w:sz w:val="22"/>
          <w:szCs w:val="22"/>
          <w:lang w:val="id-ID"/>
        </w:rPr>
      </w:pPr>
      <w:r w:rsidRPr="007F541B">
        <w:rPr>
          <w:rFonts w:ascii="Bookman Old Style" w:hAnsi="Bookman Old Style"/>
          <w:sz w:val="22"/>
          <w:szCs w:val="22"/>
          <w:lang w:val="id-ID"/>
        </w:rPr>
        <w:t xml:space="preserve">Pada industri Pinjaman Daring (Pindar), </w:t>
      </w:r>
      <w:r w:rsidRPr="007F541B">
        <w:rPr>
          <w:rFonts w:ascii="Bookman Old Style" w:hAnsi="Bookman Old Style"/>
          <w:i/>
          <w:sz w:val="22"/>
          <w:szCs w:val="22"/>
          <w:lang w:val="id-ID"/>
        </w:rPr>
        <w:t>outstanding</w:t>
      </w:r>
      <w:r w:rsidRPr="007F541B">
        <w:rPr>
          <w:rFonts w:ascii="Bookman Old Style" w:hAnsi="Bookman Old Style"/>
          <w:sz w:val="22"/>
          <w:szCs w:val="22"/>
          <w:lang w:val="id-ID"/>
        </w:rPr>
        <w:t xml:space="preserve"> pembiayaan di </w:t>
      </w:r>
      <w:r w:rsidR="001D0A22" w:rsidRPr="007F541B">
        <w:rPr>
          <w:rFonts w:ascii="Bookman Old Style" w:hAnsi="Bookman Old Style"/>
          <w:sz w:val="22"/>
          <w:szCs w:val="22"/>
          <w:lang w:val="id-ID"/>
        </w:rPr>
        <w:t>Juni</w:t>
      </w:r>
      <w:r w:rsidRPr="007F541B">
        <w:rPr>
          <w:rFonts w:ascii="Bookman Old Style" w:hAnsi="Bookman Old Style"/>
          <w:sz w:val="22"/>
          <w:szCs w:val="22"/>
          <w:lang w:val="id-ID"/>
        </w:rPr>
        <w:t xml:space="preserve"> 2025 tumbuh 2</w:t>
      </w:r>
      <w:r w:rsidR="00C83BC1" w:rsidRPr="007F541B">
        <w:rPr>
          <w:rFonts w:ascii="Bookman Old Style" w:hAnsi="Bookman Old Style"/>
          <w:sz w:val="22"/>
          <w:szCs w:val="22"/>
          <w:lang w:val="id-ID"/>
        </w:rPr>
        <w:t>5,06</w:t>
      </w:r>
      <w:r w:rsidRPr="007F541B">
        <w:rPr>
          <w:rFonts w:ascii="Bookman Old Style" w:hAnsi="Bookman Old Style"/>
          <w:sz w:val="22"/>
          <w:szCs w:val="22"/>
          <w:lang w:val="id-ID"/>
        </w:rPr>
        <w:t xml:space="preserve"> persen </w:t>
      </w:r>
      <w:r w:rsidRPr="007F541B">
        <w:rPr>
          <w:rFonts w:ascii="Bookman Old Style" w:hAnsi="Bookman Old Style"/>
          <w:i/>
          <w:sz w:val="22"/>
          <w:szCs w:val="22"/>
          <w:lang w:val="id-ID"/>
        </w:rPr>
        <w:t>yoy</w:t>
      </w:r>
      <w:r w:rsidRPr="007F541B">
        <w:rPr>
          <w:rFonts w:ascii="Bookman Old Style" w:hAnsi="Bookman Old Style"/>
          <w:sz w:val="22"/>
          <w:szCs w:val="22"/>
          <w:lang w:val="id-ID"/>
        </w:rPr>
        <w:t xml:space="preserve"> (</w:t>
      </w:r>
      <w:r w:rsidR="001D0A22" w:rsidRPr="007F541B">
        <w:rPr>
          <w:rFonts w:ascii="Bookman Old Style" w:hAnsi="Bookman Old Style"/>
          <w:sz w:val="22"/>
          <w:szCs w:val="22"/>
          <w:lang w:val="id-ID"/>
        </w:rPr>
        <w:t>Mei</w:t>
      </w:r>
      <w:r w:rsidRPr="007F541B">
        <w:rPr>
          <w:rFonts w:ascii="Bookman Old Style" w:hAnsi="Bookman Old Style"/>
          <w:sz w:val="22"/>
          <w:szCs w:val="22"/>
          <w:lang w:val="id-ID"/>
        </w:rPr>
        <w:t xml:space="preserve"> 2025: 27,93 persen </w:t>
      </w:r>
      <w:r w:rsidRPr="007F541B">
        <w:rPr>
          <w:rFonts w:ascii="Bookman Old Style" w:hAnsi="Bookman Old Style"/>
          <w:i/>
          <w:sz w:val="22"/>
          <w:szCs w:val="22"/>
          <w:lang w:val="id-ID"/>
        </w:rPr>
        <w:t>yoy</w:t>
      </w:r>
      <w:r w:rsidRPr="007F541B">
        <w:rPr>
          <w:rFonts w:ascii="Bookman Old Style" w:hAnsi="Bookman Old Style"/>
          <w:sz w:val="22"/>
          <w:szCs w:val="22"/>
          <w:lang w:val="id-ID"/>
        </w:rPr>
        <w:t>), dengan nominal sebesar Rp8</w:t>
      </w:r>
      <w:r w:rsidR="006C2944" w:rsidRPr="007F541B">
        <w:rPr>
          <w:rFonts w:ascii="Bookman Old Style" w:hAnsi="Bookman Old Style"/>
          <w:sz w:val="22"/>
          <w:szCs w:val="22"/>
          <w:lang w:val="id-ID"/>
        </w:rPr>
        <w:t>3</w:t>
      </w:r>
      <w:r w:rsidRPr="007F541B">
        <w:rPr>
          <w:rFonts w:ascii="Bookman Old Style" w:hAnsi="Bookman Old Style"/>
          <w:sz w:val="22"/>
          <w:szCs w:val="22"/>
          <w:lang w:val="id-ID"/>
        </w:rPr>
        <w:t>,5</w:t>
      </w:r>
      <w:r w:rsidR="00AF7F83" w:rsidRPr="007F541B">
        <w:rPr>
          <w:rFonts w:ascii="Bookman Old Style" w:hAnsi="Bookman Old Style"/>
          <w:sz w:val="22"/>
          <w:szCs w:val="22"/>
          <w:lang w:val="id-ID"/>
        </w:rPr>
        <w:t>2</w:t>
      </w:r>
      <w:r w:rsidRPr="007F541B">
        <w:rPr>
          <w:rFonts w:ascii="Bookman Old Style" w:hAnsi="Bookman Old Style"/>
          <w:sz w:val="22"/>
          <w:szCs w:val="22"/>
          <w:lang w:val="id-ID"/>
        </w:rPr>
        <w:t xml:space="preserve"> triliun. Tingkat risiko kredit secara agregat (TWP90) berada di posisi </w:t>
      </w:r>
      <w:r w:rsidR="006978F8" w:rsidRPr="007F541B">
        <w:rPr>
          <w:rFonts w:ascii="Bookman Old Style" w:hAnsi="Bookman Old Style"/>
          <w:sz w:val="22"/>
          <w:szCs w:val="22"/>
          <w:lang w:val="id-ID"/>
        </w:rPr>
        <w:t>2,85</w:t>
      </w:r>
      <w:r w:rsidRPr="007F541B">
        <w:rPr>
          <w:rFonts w:ascii="Bookman Old Style" w:hAnsi="Bookman Old Style"/>
          <w:sz w:val="22"/>
          <w:szCs w:val="22"/>
          <w:lang w:val="id-ID"/>
        </w:rPr>
        <w:t xml:space="preserve"> persen (</w:t>
      </w:r>
      <w:r w:rsidR="006978F8" w:rsidRPr="007F541B">
        <w:rPr>
          <w:rFonts w:ascii="Bookman Old Style" w:hAnsi="Bookman Old Style"/>
          <w:sz w:val="22"/>
          <w:szCs w:val="22"/>
          <w:lang w:val="id-ID"/>
        </w:rPr>
        <w:t>Mei</w:t>
      </w:r>
      <w:r w:rsidRPr="007F541B">
        <w:rPr>
          <w:rFonts w:ascii="Bookman Old Style" w:hAnsi="Bookman Old Style"/>
          <w:sz w:val="22"/>
          <w:szCs w:val="22"/>
          <w:lang w:val="id-ID"/>
        </w:rPr>
        <w:t xml:space="preserve"> 2025: 3,19 persen).</w:t>
      </w:r>
    </w:p>
    <w:p w14:paraId="09B4D79C" w14:textId="1EAB04C7" w:rsidR="00DB5475" w:rsidRPr="007F541B" w:rsidRDefault="00DB5475" w:rsidP="00DB5475">
      <w:pPr>
        <w:spacing w:after="120" w:line="276" w:lineRule="auto"/>
        <w:jc w:val="both"/>
        <w:rPr>
          <w:rFonts w:ascii="Bookman Old Style" w:hAnsi="Bookman Old Style"/>
          <w:sz w:val="22"/>
          <w:szCs w:val="22"/>
          <w:lang w:val="id-ID"/>
        </w:rPr>
      </w:pPr>
      <w:r w:rsidRPr="007F541B">
        <w:rPr>
          <w:rFonts w:ascii="Bookman Old Style" w:hAnsi="Bookman Old Style"/>
          <w:sz w:val="22"/>
          <w:szCs w:val="22"/>
          <w:lang w:val="id-ID"/>
        </w:rPr>
        <w:t xml:space="preserve">Berdasarkan SLIK, pembiayaan </w:t>
      </w:r>
      <w:r w:rsidRPr="007F541B">
        <w:rPr>
          <w:rFonts w:ascii="Bookman Old Style" w:hAnsi="Bookman Old Style"/>
          <w:i/>
          <w:sz w:val="22"/>
          <w:szCs w:val="22"/>
          <w:lang w:val="id-ID"/>
        </w:rPr>
        <w:t>Buy Now Pay Later</w:t>
      </w:r>
      <w:r w:rsidRPr="007F541B">
        <w:rPr>
          <w:rFonts w:ascii="Bookman Old Style" w:hAnsi="Bookman Old Style"/>
          <w:sz w:val="22"/>
          <w:szCs w:val="22"/>
          <w:lang w:val="id-ID"/>
        </w:rPr>
        <w:t xml:space="preserve"> (BNPL) oleh Perusahaan Pembiayaan pada </w:t>
      </w:r>
      <w:r w:rsidR="00EC7479" w:rsidRPr="007F541B">
        <w:rPr>
          <w:rFonts w:ascii="Bookman Old Style" w:hAnsi="Bookman Old Style"/>
          <w:sz w:val="22"/>
          <w:szCs w:val="22"/>
          <w:lang w:val="id-ID"/>
        </w:rPr>
        <w:t>Juni</w:t>
      </w:r>
      <w:r w:rsidRPr="007F541B">
        <w:rPr>
          <w:rFonts w:ascii="Bookman Old Style" w:hAnsi="Bookman Old Style"/>
          <w:sz w:val="22"/>
          <w:szCs w:val="22"/>
          <w:lang w:val="id-ID"/>
        </w:rPr>
        <w:t xml:space="preserve"> 2025 meningkat sebesar 5</w:t>
      </w:r>
      <w:r w:rsidR="000B19F5" w:rsidRPr="007F541B">
        <w:rPr>
          <w:rFonts w:ascii="Bookman Old Style" w:hAnsi="Bookman Old Style"/>
          <w:sz w:val="22"/>
          <w:szCs w:val="22"/>
          <w:lang w:val="id-ID"/>
        </w:rPr>
        <w:t>6</w:t>
      </w:r>
      <w:r w:rsidRPr="007F541B">
        <w:rPr>
          <w:rFonts w:ascii="Bookman Old Style" w:hAnsi="Bookman Old Style"/>
          <w:sz w:val="22"/>
          <w:szCs w:val="22"/>
          <w:lang w:val="id-ID"/>
        </w:rPr>
        <w:t xml:space="preserve">,26 persen </w:t>
      </w:r>
      <w:r w:rsidRPr="007F541B">
        <w:rPr>
          <w:rFonts w:ascii="Bookman Old Style" w:hAnsi="Bookman Old Style"/>
          <w:i/>
          <w:sz w:val="22"/>
          <w:szCs w:val="22"/>
          <w:lang w:val="id-ID"/>
        </w:rPr>
        <w:t>yoy</w:t>
      </w:r>
      <w:r w:rsidRPr="007F541B">
        <w:rPr>
          <w:rFonts w:ascii="Bookman Old Style" w:hAnsi="Bookman Old Style"/>
          <w:sz w:val="22"/>
          <w:szCs w:val="22"/>
          <w:lang w:val="id-ID"/>
        </w:rPr>
        <w:t xml:space="preserve"> (</w:t>
      </w:r>
      <w:r w:rsidR="000B19F5" w:rsidRPr="007F541B">
        <w:rPr>
          <w:rFonts w:ascii="Bookman Old Style" w:hAnsi="Bookman Old Style"/>
          <w:sz w:val="22"/>
          <w:szCs w:val="22"/>
          <w:lang w:val="id-ID"/>
        </w:rPr>
        <w:t>Mei</w:t>
      </w:r>
      <w:r w:rsidRPr="007F541B">
        <w:rPr>
          <w:rFonts w:ascii="Bookman Old Style" w:hAnsi="Bookman Old Style"/>
          <w:sz w:val="22"/>
          <w:szCs w:val="22"/>
          <w:lang w:val="id-ID"/>
        </w:rPr>
        <w:t xml:space="preserve"> 2025: 54,26 persen </w:t>
      </w:r>
      <w:r w:rsidRPr="007F541B">
        <w:rPr>
          <w:rFonts w:ascii="Bookman Old Style" w:hAnsi="Bookman Old Style"/>
          <w:i/>
          <w:sz w:val="22"/>
          <w:szCs w:val="22"/>
          <w:lang w:val="id-ID"/>
        </w:rPr>
        <w:t>yoy</w:t>
      </w:r>
      <w:r w:rsidRPr="007F541B">
        <w:rPr>
          <w:rFonts w:ascii="Bookman Old Style" w:hAnsi="Bookman Old Style"/>
          <w:sz w:val="22"/>
          <w:szCs w:val="22"/>
          <w:lang w:val="id-ID"/>
        </w:rPr>
        <w:t>), atau menjadi Rp</w:t>
      </w:r>
      <w:r w:rsidR="00D64E6D">
        <w:rPr>
          <w:rFonts w:ascii="Bookman Old Style" w:hAnsi="Bookman Old Style"/>
          <w:sz w:val="22"/>
          <w:szCs w:val="22"/>
          <w:lang w:val="id-ID"/>
        </w:rPr>
        <w:t>8,56</w:t>
      </w:r>
      <w:r w:rsidRPr="007F541B">
        <w:rPr>
          <w:rFonts w:ascii="Bookman Old Style" w:hAnsi="Bookman Old Style"/>
          <w:sz w:val="22"/>
          <w:szCs w:val="22"/>
          <w:lang w:val="id-ID"/>
        </w:rPr>
        <w:t xml:space="preserve"> triliun dengan NPF </w:t>
      </w:r>
      <w:r w:rsidRPr="007F541B">
        <w:rPr>
          <w:rFonts w:ascii="Bookman Old Style" w:hAnsi="Bookman Old Style"/>
          <w:i/>
          <w:sz w:val="22"/>
          <w:szCs w:val="22"/>
          <w:lang w:val="id-ID"/>
        </w:rPr>
        <w:t>gross</w:t>
      </w:r>
      <w:r w:rsidRPr="007F541B">
        <w:rPr>
          <w:rFonts w:ascii="Bookman Old Style" w:hAnsi="Bookman Old Style"/>
          <w:sz w:val="22"/>
          <w:szCs w:val="22"/>
          <w:lang w:val="id-ID"/>
        </w:rPr>
        <w:t xml:space="preserve"> sebesar 3,</w:t>
      </w:r>
      <w:r w:rsidR="00077AE0" w:rsidRPr="007F541B">
        <w:rPr>
          <w:rFonts w:ascii="Bookman Old Style" w:hAnsi="Bookman Old Style"/>
          <w:sz w:val="22"/>
          <w:szCs w:val="22"/>
          <w:lang w:val="id-ID"/>
        </w:rPr>
        <w:t>25</w:t>
      </w:r>
      <w:r w:rsidRPr="007F541B">
        <w:rPr>
          <w:rFonts w:ascii="Bookman Old Style" w:hAnsi="Bookman Old Style"/>
          <w:sz w:val="22"/>
          <w:szCs w:val="22"/>
          <w:lang w:val="id-ID"/>
        </w:rPr>
        <w:t xml:space="preserve"> persen (</w:t>
      </w:r>
      <w:r w:rsidR="0063130D" w:rsidRPr="007F541B">
        <w:rPr>
          <w:rFonts w:ascii="Bookman Old Style" w:hAnsi="Bookman Old Style"/>
          <w:sz w:val="22"/>
          <w:szCs w:val="22"/>
          <w:lang w:val="id-ID"/>
        </w:rPr>
        <w:t>Mei</w:t>
      </w:r>
      <w:r w:rsidRPr="007F541B">
        <w:rPr>
          <w:rFonts w:ascii="Bookman Old Style" w:hAnsi="Bookman Old Style"/>
          <w:sz w:val="22"/>
          <w:szCs w:val="22"/>
          <w:lang w:val="id-ID"/>
        </w:rPr>
        <w:t xml:space="preserve"> 2025: 3,7</w:t>
      </w:r>
      <w:r w:rsidR="0063130D" w:rsidRPr="007F541B">
        <w:rPr>
          <w:rFonts w:ascii="Bookman Old Style" w:hAnsi="Bookman Old Style"/>
          <w:sz w:val="22"/>
          <w:szCs w:val="22"/>
          <w:lang w:val="id-ID"/>
        </w:rPr>
        <w:t>4</w:t>
      </w:r>
      <w:r w:rsidRPr="007F541B">
        <w:rPr>
          <w:rFonts w:ascii="Bookman Old Style" w:hAnsi="Bookman Old Style"/>
          <w:sz w:val="22"/>
          <w:szCs w:val="22"/>
          <w:lang w:val="id-ID"/>
        </w:rPr>
        <w:t xml:space="preserve"> persen).</w:t>
      </w:r>
      <w:r w:rsidR="005719B4">
        <w:rPr>
          <w:rFonts w:ascii="Bookman Old Style" w:hAnsi="Bookman Old Style"/>
          <w:sz w:val="22"/>
          <w:szCs w:val="22"/>
          <w:lang w:val="id-ID"/>
        </w:rPr>
        <w:t xml:space="preserve"> </w:t>
      </w:r>
    </w:p>
    <w:p w14:paraId="79C01ECF" w14:textId="77777777" w:rsidR="00DB5475" w:rsidRPr="007F541B" w:rsidRDefault="00DB5475" w:rsidP="00DB5475">
      <w:pPr>
        <w:spacing w:after="120" w:line="276" w:lineRule="auto"/>
        <w:jc w:val="both"/>
        <w:rPr>
          <w:rFonts w:ascii="Bookman Old Style" w:hAnsi="Bookman Old Style"/>
          <w:sz w:val="22"/>
          <w:szCs w:val="22"/>
          <w:lang w:val="id-ID"/>
        </w:rPr>
      </w:pPr>
      <w:r w:rsidRPr="007F541B">
        <w:rPr>
          <w:rFonts w:ascii="Bookman Old Style" w:hAnsi="Bookman Old Style"/>
          <w:sz w:val="22"/>
          <w:szCs w:val="22"/>
          <w:lang w:val="id-ID"/>
        </w:rPr>
        <w:t>Sementara itu, dalam rangka penegakan ketentuan dan pelindungan konsumen di sektor PVML, OJK telah melakukan langkah-langkah sebagai berikut:</w:t>
      </w:r>
    </w:p>
    <w:p w14:paraId="3E9F8192" w14:textId="3E650120" w:rsidR="00661475" w:rsidRDefault="00661475" w:rsidP="00D6168E">
      <w:pPr>
        <w:pStyle w:val="ListParagraph"/>
        <w:numPr>
          <w:ilvl w:val="0"/>
          <w:numId w:val="13"/>
        </w:numPr>
        <w:spacing w:before="120" w:after="0" w:line="276" w:lineRule="auto"/>
        <w:ind w:left="425" w:hanging="357"/>
        <w:contextualSpacing w:val="0"/>
        <w:jc w:val="both"/>
        <w:rPr>
          <w:rFonts w:ascii="Bookman Old Style" w:hAnsi="Bookman Old Style"/>
          <w:sz w:val="22"/>
          <w:szCs w:val="22"/>
          <w:lang w:val="id-ID"/>
        </w:rPr>
      </w:pPr>
      <w:r w:rsidRPr="00A428BB">
        <w:rPr>
          <w:rFonts w:ascii="Bookman Old Style" w:hAnsi="Bookman Old Style"/>
          <w:sz w:val="22"/>
          <w:szCs w:val="22"/>
          <w:lang w:val="id-ID"/>
        </w:rPr>
        <w:t xml:space="preserve">OJK telah </w:t>
      </w:r>
      <w:r w:rsidR="000229F8" w:rsidRPr="00A428BB">
        <w:rPr>
          <w:rFonts w:ascii="Bookman Old Style" w:hAnsi="Bookman Old Style"/>
          <w:sz w:val="22"/>
          <w:szCs w:val="22"/>
          <w:lang w:val="id-ID"/>
        </w:rPr>
        <w:t>melakukan</w:t>
      </w:r>
      <w:r w:rsidR="000229F8">
        <w:rPr>
          <w:rFonts w:ascii="Bookman Old Style" w:hAnsi="Bookman Old Style"/>
          <w:sz w:val="22"/>
          <w:szCs w:val="22"/>
          <w:lang w:val="id-ID"/>
        </w:rPr>
        <w:t xml:space="preserve"> p</w:t>
      </w:r>
      <w:r>
        <w:rPr>
          <w:rFonts w:ascii="Bookman Old Style" w:hAnsi="Bookman Old Style"/>
          <w:sz w:val="22"/>
          <w:szCs w:val="22"/>
          <w:lang w:val="id-ID"/>
        </w:rPr>
        <w:t>encabutan Izin Usaha perusahaan modal ventura PT Dana Mandiri Sejahtera pada 08 Juli 2025 karena tidak dapat memenuhi ketentuan mengenai ekuitas minimum sampai dengan tanggal jatuh tempo Sanksi Pembekuan Kegiatan Usaha berakhir.</w:t>
      </w:r>
    </w:p>
    <w:p w14:paraId="5001B322" w14:textId="6B84DC63" w:rsidR="00115CF5" w:rsidRPr="000E2171" w:rsidRDefault="00C471C9" w:rsidP="00115CF5">
      <w:pPr>
        <w:pStyle w:val="ListParagraph"/>
        <w:numPr>
          <w:ilvl w:val="0"/>
          <w:numId w:val="13"/>
        </w:numPr>
        <w:spacing w:before="120" w:line="276" w:lineRule="auto"/>
        <w:ind w:left="426" w:hanging="426"/>
        <w:contextualSpacing w:val="0"/>
        <w:jc w:val="both"/>
        <w:rPr>
          <w:rFonts w:ascii="Bookman Old Style" w:hAnsi="Bookman Old Style"/>
          <w:sz w:val="22"/>
          <w:szCs w:val="22"/>
          <w:lang w:val="id-ID"/>
        </w:rPr>
      </w:pPr>
      <w:r w:rsidRPr="007F541B">
        <w:rPr>
          <w:rFonts w:ascii="Bookman Old Style" w:hAnsi="Bookman Old Style"/>
          <w:sz w:val="22"/>
          <w:szCs w:val="22"/>
          <w:lang w:val="id-ID"/>
        </w:rPr>
        <w:t xml:space="preserve">Saat ini terdapat </w:t>
      </w:r>
      <w:r w:rsidRPr="00D6168E">
        <w:rPr>
          <w:rFonts w:ascii="Bookman Old Style" w:hAnsi="Bookman Old Style"/>
          <w:sz w:val="22"/>
          <w:szCs w:val="22"/>
          <w:lang w:val="id-ID"/>
        </w:rPr>
        <w:t xml:space="preserve">4 </w:t>
      </w:r>
      <w:r w:rsidRPr="007F541B">
        <w:rPr>
          <w:rFonts w:ascii="Bookman Old Style" w:hAnsi="Bookman Old Style"/>
          <w:sz w:val="22"/>
          <w:szCs w:val="22"/>
          <w:lang w:val="id-ID"/>
        </w:rPr>
        <w:t xml:space="preserve">dari 145 Perusahaan Pembiayaan yang belum memenuhi ketentuan kewajiban ekuitas minimum Rp100 miliar dan </w:t>
      </w:r>
      <w:r w:rsidRPr="00D6168E">
        <w:rPr>
          <w:rFonts w:ascii="Bookman Old Style" w:hAnsi="Bookman Old Style"/>
          <w:sz w:val="22"/>
          <w:szCs w:val="22"/>
          <w:lang w:val="id-ID"/>
        </w:rPr>
        <w:t xml:space="preserve">11 </w:t>
      </w:r>
      <w:r w:rsidRPr="007F541B">
        <w:rPr>
          <w:rFonts w:ascii="Bookman Old Style" w:hAnsi="Bookman Old Style"/>
          <w:sz w:val="22"/>
          <w:szCs w:val="22"/>
          <w:lang w:val="id-ID"/>
        </w:rPr>
        <w:t xml:space="preserve">dari 96 Penyelenggara </w:t>
      </w:r>
      <w:r w:rsidRPr="00D6168E">
        <w:rPr>
          <w:rFonts w:ascii="Bookman Old Style" w:hAnsi="Bookman Old Style"/>
          <w:sz w:val="22"/>
          <w:szCs w:val="22"/>
          <w:lang w:val="id-ID"/>
        </w:rPr>
        <w:t xml:space="preserve">Pindar </w:t>
      </w:r>
      <w:r w:rsidRPr="007F541B">
        <w:rPr>
          <w:rFonts w:ascii="Bookman Old Style" w:hAnsi="Bookman Old Style"/>
          <w:sz w:val="22"/>
          <w:szCs w:val="22"/>
          <w:lang w:val="id-ID"/>
        </w:rPr>
        <w:t>yang belum memenuhi kewajiban ekuitas minimum Rp</w:t>
      </w:r>
      <w:r w:rsidRPr="00D6168E">
        <w:rPr>
          <w:rFonts w:ascii="Bookman Old Style" w:hAnsi="Bookman Old Style"/>
          <w:sz w:val="22"/>
          <w:szCs w:val="22"/>
          <w:lang w:val="id-ID"/>
        </w:rPr>
        <w:t xml:space="preserve">12,5 </w:t>
      </w:r>
      <w:r w:rsidRPr="007F541B">
        <w:rPr>
          <w:rFonts w:ascii="Bookman Old Style" w:hAnsi="Bookman Old Style"/>
          <w:sz w:val="22"/>
          <w:szCs w:val="22"/>
          <w:lang w:val="id-ID"/>
        </w:rPr>
        <w:t xml:space="preserve">miliar. Sebanyak </w:t>
      </w:r>
      <w:r w:rsidRPr="000E2171">
        <w:rPr>
          <w:rFonts w:ascii="Bookman Old Style" w:hAnsi="Bookman Old Style"/>
          <w:sz w:val="22"/>
          <w:szCs w:val="22"/>
          <w:lang w:val="id-ID"/>
        </w:rPr>
        <w:t xml:space="preserve">5 </w:t>
      </w:r>
      <w:r w:rsidRPr="007F541B">
        <w:rPr>
          <w:rFonts w:ascii="Bookman Old Style" w:hAnsi="Bookman Old Style"/>
          <w:sz w:val="22"/>
          <w:szCs w:val="22"/>
          <w:lang w:val="id-ID"/>
        </w:rPr>
        <w:t>dari 1</w:t>
      </w:r>
      <w:r w:rsidRPr="000E2171">
        <w:rPr>
          <w:rFonts w:ascii="Bookman Old Style" w:hAnsi="Bookman Old Style"/>
          <w:sz w:val="22"/>
          <w:szCs w:val="22"/>
          <w:lang w:val="id-ID"/>
        </w:rPr>
        <w:t>1</w:t>
      </w:r>
      <w:r w:rsidRPr="007F541B">
        <w:rPr>
          <w:rFonts w:ascii="Bookman Old Style" w:hAnsi="Bookman Old Style"/>
          <w:sz w:val="22"/>
          <w:szCs w:val="22"/>
          <w:lang w:val="id-ID"/>
        </w:rPr>
        <w:t xml:space="preserve"> Penyelenggara </w:t>
      </w:r>
      <w:r w:rsidRPr="000E2171">
        <w:rPr>
          <w:rFonts w:ascii="Bookman Old Style" w:hAnsi="Bookman Old Style"/>
          <w:sz w:val="22"/>
          <w:szCs w:val="22"/>
          <w:lang w:val="id-ID"/>
        </w:rPr>
        <w:t xml:space="preserve">Pindar </w:t>
      </w:r>
      <w:r w:rsidRPr="007F541B">
        <w:rPr>
          <w:rFonts w:ascii="Bookman Old Style" w:hAnsi="Bookman Old Style"/>
          <w:sz w:val="22"/>
          <w:szCs w:val="22"/>
          <w:lang w:val="id-ID"/>
        </w:rPr>
        <w:t>tersebut,</w:t>
      </w:r>
      <w:r w:rsidRPr="000E2171">
        <w:rPr>
          <w:rFonts w:ascii="Bookman Old Style" w:hAnsi="Bookman Old Style"/>
          <w:sz w:val="22"/>
          <w:szCs w:val="22"/>
          <w:lang w:val="id-ID"/>
        </w:rPr>
        <w:t xml:space="preserve"> </w:t>
      </w:r>
      <w:r w:rsidRPr="007F541B">
        <w:rPr>
          <w:rFonts w:ascii="Bookman Old Style" w:hAnsi="Bookman Old Style"/>
          <w:sz w:val="22"/>
          <w:szCs w:val="22"/>
          <w:lang w:val="id-ID"/>
        </w:rPr>
        <w:t>sedang dalam proses analisis atas permohonan peningkatan modal disetor</w:t>
      </w:r>
      <w:r w:rsidRPr="000E2171">
        <w:rPr>
          <w:rFonts w:ascii="Bookman Old Style" w:hAnsi="Bookman Old Style"/>
          <w:sz w:val="22"/>
          <w:szCs w:val="22"/>
          <w:lang w:val="id-ID"/>
        </w:rPr>
        <w:t xml:space="preserve">. </w:t>
      </w:r>
      <w:r w:rsidRPr="007F541B">
        <w:rPr>
          <w:rFonts w:ascii="Bookman Old Style" w:hAnsi="Bookman Old Style"/>
          <w:sz w:val="22"/>
          <w:szCs w:val="22"/>
          <w:lang w:val="id-ID"/>
        </w:rPr>
        <w:t xml:space="preserve">OJK terus melakukan langkah-langkah yang diperlukan berdasarkan </w:t>
      </w:r>
      <w:r w:rsidRPr="007F541B">
        <w:rPr>
          <w:rFonts w:ascii="Bookman Old Style" w:hAnsi="Bookman Old Style"/>
          <w:i/>
          <w:iCs/>
          <w:sz w:val="22"/>
          <w:szCs w:val="22"/>
          <w:lang w:val="id-ID"/>
        </w:rPr>
        <w:t>progress action plan</w:t>
      </w:r>
      <w:r w:rsidRPr="007F541B">
        <w:rPr>
          <w:rFonts w:ascii="Bookman Old Style" w:hAnsi="Bookman Old Style"/>
          <w:sz w:val="22"/>
          <w:szCs w:val="22"/>
          <w:lang w:val="id-ID"/>
        </w:rPr>
        <w:t xml:space="preserve"> upaya pemenuhan kewajiban ekuitas minimum dimaksud berupa injeksi modal dari pemegang saham, maupun dari </w:t>
      </w:r>
      <w:r w:rsidRPr="007F541B">
        <w:rPr>
          <w:rFonts w:ascii="Bookman Old Style" w:hAnsi="Bookman Old Style"/>
          <w:i/>
          <w:iCs/>
          <w:sz w:val="22"/>
          <w:szCs w:val="22"/>
          <w:lang w:val="id-ID"/>
        </w:rPr>
        <w:t>strategic investor</w:t>
      </w:r>
      <w:r w:rsidRPr="007F541B">
        <w:rPr>
          <w:rFonts w:ascii="Bookman Old Style" w:hAnsi="Bookman Old Style"/>
          <w:sz w:val="22"/>
          <w:szCs w:val="22"/>
          <w:lang w:val="id-ID"/>
        </w:rPr>
        <w:t xml:space="preserve"> lokal/asing yang kredibel, termasuk pengembalian izin usaha.</w:t>
      </w:r>
    </w:p>
    <w:p w14:paraId="32581008" w14:textId="370C48A5" w:rsidR="00340AB2" w:rsidRPr="00D6168E" w:rsidRDefault="00DB5475" w:rsidP="00115CF5">
      <w:pPr>
        <w:pStyle w:val="ListParagraph"/>
        <w:numPr>
          <w:ilvl w:val="0"/>
          <w:numId w:val="13"/>
        </w:numPr>
        <w:spacing w:before="120" w:line="276" w:lineRule="auto"/>
        <w:ind w:left="426" w:hanging="426"/>
        <w:contextualSpacing w:val="0"/>
        <w:jc w:val="both"/>
        <w:rPr>
          <w:rFonts w:ascii="Bookman Old Style" w:hAnsi="Bookman Old Style"/>
          <w:sz w:val="22"/>
          <w:szCs w:val="22"/>
          <w:lang w:val="id-ID"/>
        </w:rPr>
      </w:pPr>
      <w:r w:rsidRPr="007F541B">
        <w:rPr>
          <w:rFonts w:ascii="Bookman Old Style" w:hAnsi="Bookman Old Style"/>
          <w:sz w:val="22"/>
          <w:szCs w:val="22"/>
          <w:lang w:val="id-ID"/>
        </w:rPr>
        <w:lastRenderedPageBreak/>
        <w:t>Dalam rangka menegakkan kepatuhan dan integrita</w:t>
      </w:r>
      <w:r w:rsidRPr="000E2171">
        <w:rPr>
          <w:rFonts w:ascii="Bookman Old Style" w:hAnsi="Bookman Old Style"/>
          <w:sz w:val="22"/>
          <w:szCs w:val="22"/>
          <w:lang w:val="id-ID"/>
        </w:rPr>
        <w:t>s</w:t>
      </w:r>
      <w:r w:rsidRPr="007F541B">
        <w:rPr>
          <w:rFonts w:ascii="Bookman Old Style" w:hAnsi="Bookman Old Style"/>
          <w:sz w:val="22"/>
          <w:szCs w:val="22"/>
          <w:lang w:val="id-ID"/>
        </w:rPr>
        <w:t xml:space="preserve"> industri sektor PVML, selama bulan </w:t>
      </w:r>
      <w:r w:rsidR="00C471C9" w:rsidRPr="000E2171">
        <w:rPr>
          <w:rFonts w:ascii="Bookman Old Style" w:hAnsi="Bookman Old Style"/>
          <w:sz w:val="22"/>
          <w:szCs w:val="22"/>
          <w:lang w:val="id-ID"/>
        </w:rPr>
        <w:t>Juli</w:t>
      </w:r>
      <w:r w:rsidRPr="000E2171">
        <w:rPr>
          <w:rFonts w:ascii="Bookman Old Style" w:hAnsi="Bookman Old Style"/>
          <w:sz w:val="22"/>
          <w:szCs w:val="22"/>
          <w:lang w:val="id-ID"/>
        </w:rPr>
        <w:t xml:space="preserve"> </w:t>
      </w:r>
      <w:r w:rsidRPr="007F541B">
        <w:rPr>
          <w:rFonts w:ascii="Bookman Old Style" w:hAnsi="Bookman Old Style"/>
          <w:sz w:val="22"/>
          <w:szCs w:val="22"/>
          <w:lang w:val="id-ID"/>
        </w:rPr>
        <w:t>2025</w:t>
      </w:r>
      <w:r w:rsidR="00DD06AD">
        <w:rPr>
          <w:rFonts w:ascii="Bookman Old Style" w:hAnsi="Bookman Old Style"/>
          <w:sz w:val="22"/>
          <w:szCs w:val="22"/>
          <w:lang w:val="id-ID"/>
        </w:rPr>
        <w:t>,</w:t>
      </w:r>
      <w:r w:rsidRPr="007F541B">
        <w:rPr>
          <w:rFonts w:ascii="Bookman Old Style" w:hAnsi="Bookman Old Style"/>
          <w:sz w:val="22"/>
          <w:szCs w:val="22"/>
          <w:lang w:val="id-ID"/>
        </w:rPr>
        <w:t xml:space="preserve"> OJK telah mengenakan sanksi administratif kepada </w:t>
      </w:r>
      <w:r w:rsidR="00C471C9" w:rsidRPr="000E2171">
        <w:rPr>
          <w:rFonts w:ascii="Bookman Old Style" w:hAnsi="Bookman Old Style"/>
          <w:sz w:val="22"/>
          <w:szCs w:val="22"/>
          <w:lang w:val="id-ID"/>
        </w:rPr>
        <w:t>1</w:t>
      </w:r>
      <w:r w:rsidR="00580C37" w:rsidRPr="000E2171">
        <w:rPr>
          <w:rFonts w:ascii="Bookman Old Style" w:hAnsi="Bookman Old Style"/>
          <w:sz w:val="22"/>
          <w:szCs w:val="22"/>
          <w:lang w:val="id-ID"/>
        </w:rPr>
        <w:t>9</w:t>
      </w:r>
      <w:r w:rsidRPr="000E2171">
        <w:rPr>
          <w:rFonts w:ascii="Bookman Old Style" w:hAnsi="Bookman Old Style"/>
          <w:sz w:val="22"/>
          <w:szCs w:val="22"/>
          <w:lang w:val="id-ID"/>
        </w:rPr>
        <w:t xml:space="preserve"> </w:t>
      </w:r>
      <w:r w:rsidRPr="00A428BB">
        <w:rPr>
          <w:rFonts w:ascii="Bookman Old Style" w:hAnsi="Bookman Old Style"/>
          <w:sz w:val="22"/>
          <w:szCs w:val="22"/>
          <w:lang w:val="id-ID"/>
        </w:rPr>
        <w:t xml:space="preserve">Perusahaan Pembiayaan, </w:t>
      </w:r>
      <w:r w:rsidR="00580C37" w:rsidRPr="000E2171">
        <w:rPr>
          <w:rFonts w:ascii="Bookman Old Style" w:hAnsi="Bookman Old Style"/>
          <w:sz w:val="22"/>
          <w:szCs w:val="22"/>
          <w:lang w:val="id-ID"/>
        </w:rPr>
        <w:t>3</w:t>
      </w:r>
      <w:r w:rsidRPr="000E2171">
        <w:rPr>
          <w:rFonts w:ascii="Bookman Old Style" w:hAnsi="Bookman Old Style"/>
          <w:sz w:val="22"/>
          <w:szCs w:val="22"/>
          <w:lang w:val="id-ID"/>
        </w:rPr>
        <w:t xml:space="preserve"> </w:t>
      </w:r>
      <w:r w:rsidRPr="00A428BB">
        <w:rPr>
          <w:rFonts w:ascii="Bookman Old Style" w:hAnsi="Bookman Old Style"/>
          <w:sz w:val="22"/>
          <w:szCs w:val="22"/>
          <w:lang w:val="id-ID"/>
        </w:rPr>
        <w:t xml:space="preserve">Perusahaan Modal Ventura, </w:t>
      </w:r>
      <w:r w:rsidR="00580C37" w:rsidRPr="000E2171">
        <w:rPr>
          <w:rFonts w:ascii="Bookman Old Style" w:hAnsi="Bookman Old Style"/>
          <w:sz w:val="22"/>
          <w:szCs w:val="22"/>
          <w:lang w:val="id-ID"/>
        </w:rPr>
        <w:t>30</w:t>
      </w:r>
      <w:r w:rsidRPr="000E2171">
        <w:rPr>
          <w:rFonts w:ascii="Bookman Old Style" w:hAnsi="Bookman Old Style"/>
          <w:sz w:val="22"/>
          <w:szCs w:val="22"/>
          <w:lang w:val="id-ID"/>
        </w:rPr>
        <w:t xml:space="preserve"> </w:t>
      </w:r>
      <w:r w:rsidRPr="00A428BB">
        <w:rPr>
          <w:rFonts w:ascii="Bookman Old Style" w:hAnsi="Bookman Old Style"/>
          <w:sz w:val="22"/>
          <w:szCs w:val="22"/>
          <w:lang w:val="id-ID"/>
        </w:rPr>
        <w:t xml:space="preserve">Penyelenggara </w:t>
      </w:r>
      <w:r w:rsidRPr="000E2171">
        <w:rPr>
          <w:rFonts w:ascii="Bookman Old Style" w:hAnsi="Bookman Old Style"/>
          <w:sz w:val="22"/>
          <w:szCs w:val="22"/>
          <w:lang w:val="id-ID"/>
        </w:rPr>
        <w:t>Pindar</w:t>
      </w:r>
      <w:r w:rsidRPr="00A428BB">
        <w:rPr>
          <w:rFonts w:ascii="Bookman Old Style" w:hAnsi="Bookman Old Style"/>
          <w:sz w:val="22"/>
          <w:szCs w:val="22"/>
          <w:lang w:val="id-ID"/>
        </w:rPr>
        <w:t xml:space="preserve">, </w:t>
      </w:r>
      <w:r w:rsidR="00580C37" w:rsidRPr="000E2171">
        <w:rPr>
          <w:rFonts w:ascii="Bookman Old Style" w:hAnsi="Bookman Old Style"/>
          <w:sz w:val="22"/>
          <w:szCs w:val="22"/>
          <w:lang w:val="id-ID"/>
        </w:rPr>
        <w:t>44</w:t>
      </w:r>
      <w:r w:rsidRPr="000E2171">
        <w:rPr>
          <w:rFonts w:ascii="Bookman Old Style" w:hAnsi="Bookman Old Style"/>
          <w:sz w:val="22"/>
          <w:szCs w:val="22"/>
          <w:lang w:val="id-ID"/>
        </w:rPr>
        <w:t xml:space="preserve"> </w:t>
      </w:r>
      <w:r w:rsidRPr="00A428BB">
        <w:rPr>
          <w:rFonts w:ascii="Bookman Old Style" w:hAnsi="Bookman Old Style"/>
          <w:sz w:val="22"/>
          <w:szCs w:val="22"/>
          <w:lang w:val="id-ID"/>
        </w:rPr>
        <w:t>Perusahaan Pergadaian Swasta</w:t>
      </w:r>
      <w:r w:rsidRPr="000E2171">
        <w:rPr>
          <w:rFonts w:ascii="Bookman Old Style" w:hAnsi="Bookman Old Style"/>
          <w:sz w:val="22"/>
          <w:szCs w:val="22"/>
          <w:lang w:val="id-ID"/>
        </w:rPr>
        <w:t xml:space="preserve">, 1 Lembaga Keuangan Khusus dan </w:t>
      </w:r>
      <w:r w:rsidR="00C471C9" w:rsidRPr="000E2171">
        <w:rPr>
          <w:rFonts w:ascii="Bookman Old Style" w:hAnsi="Bookman Old Style"/>
          <w:sz w:val="22"/>
          <w:szCs w:val="22"/>
          <w:lang w:val="id-ID"/>
        </w:rPr>
        <w:t>1</w:t>
      </w:r>
      <w:r w:rsidR="00AA6C54" w:rsidRPr="000E2171">
        <w:rPr>
          <w:rFonts w:ascii="Bookman Old Style" w:hAnsi="Bookman Old Style"/>
          <w:sz w:val="22"/>
          <w:szCs w:val="22"/>
          <w:lang w:val="id-ID"/>
        </w:rPr>
        <w:t>0</w:t>
      </w:r>
      <w:r w:rsidRPr="000E2171">
        <w:rPr>
          <w:rFonts w:ascii="Bookman Old Style" w:hAnsi="Bookman Old Style"/>
          <w:sz w:val="22"/>
          <w:szCs w:val="22"/>
          <w:lang w:val="id-ID"/>
        </w:rPr>
        <w:t xml:space="preserve"> </w:t>
      </w:r>
      <w:r w:rsidRPr="00A428BB">
        <w:rPr>
          <w:rFonts w:ascii="Bookman Old Style" w:hAnsi="Bookman Old Style"/>
          <w:sz w:val="22"/>
          <w:szCs w:val="22"/>
          <w:lang w:val="id-ID"/>
        </w:rPr>
        <w:t>Lembaga Keuangan Mikro atas pelanggaran yang dilakukan terhadap POJK</w:t>
      </w:r>
      <w:r w:rsidRPr="007F541B">
        <w:rPr>
          <w:rFonts w:ascii="Bookman Old Style" w:hAnsi="Bookman Old Style"/>
          <w:sz w:val="22"/>
          <w:szCs w:val="22"/>
          <w:lang w:val="id-ID"/>
        </w:rPr>
        <w:t xml:space="preserve"> yang berlaku, maupun hasil pengawasan dan/atau tindak lanjut pemeriksaan. </w:t>
      </w:r>
      <w:r w:rsidRPr="00A428BB">
        <w:rPr>
          <w:rFonts w:ascii="Bookman Old Style" w:hAnsi="Bookman Old Style"/>
          <w:sz w:val="22"/>
          <w:szCs w:val="22"/>
          <w:lang w:val="id-ID"/>
        </w:rPr>
        <w:t xml:space="preserve">Pengenaan sanksi administratif terdiri dari </w:t>
      </w:r>
      <w:r w:rsidR="00AA6C54" w:rsidRPr="00A428BB">
        <w:rPr>
          <w:rFonts w:ascii="Bookman Old Style" w:hAnsi="Bookman Old Style"/>
          <w:sz w:val="22"/>
          <w:szCs w:val="22"/>
          <w:lang w:val="fi-FI"/>
        </w:rPr>
        <w:t>40</w:t>
      </w:r>
      <w:r w:rsidRPr="00A428BB">
        <w:rPr>
          <w:rFonts w:ascii="Bookman Old Style" w:hAnsi="Bookman Old Style"/>
          <w:sz w:val="22"/>
          <w:szCs w:val="22"/>
          <w:lang w:val="fi-FI"/>
        </w:rPr>
        <w:t xml:space="preserve"> </w:t>
      </w:r>
      <w:r w:rsidRPr="00A428BB">
        <w:rPr>
          <w:rFonts w:ascii="Bookman Old Style" w:hAnsi="Bookman Old Style"/>
          <w:sz w:val="22"/>
          <w:szCs w:val="22"/>
          <w:lang w:val="id-ID"/>
        </w:rPr>
        <w:t xml:space="preserve">sanksi denda dan </w:t>
      </w:r>
      <w:r w:rsidR="00AA6C54" w:rsidRPr="00A428BB">
        <w:rPr>
          <w:rFonts w:ascii="Bookman Old Style" w:hAnsi="Bookman Old Style"/>
          <w:sz w:val="22"/>
          <w:szCs w:val="22"/>
          <w:lang w:val="fi-FI"/>
        </w:rPr>
        <w:t>115</w:t>
      </w:r>
      <w:r w:rsidRPr="00A428BB">
        <w:rPr>
          <w:rFonts w:ascii="Bookman Old Style" w:hAnsi="Bookman Old Style"/>
          <w:sz w:val="22"/>
          <w:szCs w:val="22"/>
          <w:lang w:val="fi-FI"/>
        </w:rPr>
        <w:t xml:space="preserve"> </w:t>
      </w:r>
      <w:r w:rsidRPr="00A428BB">
        <w:rPr>
          <w:rFonts w:ascii="Bookman Old Style" w:hAnsi="Bookman Old Style"/>
          <w:sz w:val="22"/>
          <w:szCs w:val="22"/>
          <w:lang w:val="id-ID"/>
        </w:rPr>
        <w:t xml:space="preserve">sanksi </w:t>
      </w:r>
      <w:r w:rsidRPr="007F541B">
        <w:rPr>
          <w:rFonts w:ascii="Bookman Old Style" w:hAnsi="Bookman Old Style"/>
          <w:sz w:val="22"/>
          <w:szCs w:val="22"/>
          <w:lang w:val="id-ID"/>
        </w:rPr>
        <w:t xml:space="preserve">peringatan tertulis. OJK berharap upaya penegakkan kepatuhan dan pengenaan sanksi tersebut dapat mendorong pelaku industri sektor PVML meningkatkan aspek tata kelola yang baik, </w:t>
      </w:r>
      <w:r w:rsidR="007A4D78">
        <w:rPr>
          <w:rFonts w:ascii="Bookman Old Style" w:hAnsi="Bookman Old Style"/>
          <w:sz w:val="22"/>
          <w:szCs w:val="22"/>
          <w:lang w:val="id-ID"/>
        </w:rPr>
        <w:t xml:space="preserve">prinsip </w:t>
      </w:r>
      <w:r w:rsidRPr="007F541B">
        <w:rPr>
          <w:rFonts w:ascii="Bookman Old Style" w:hAnsi="Bookman Old Style"/>
          <w:sz w:val="22"/>
          <w:szCs w:val="22"/>
          <w:lang w:val="id-ID"/>
        </w:rPr>
        <w:t>kehati-hatian, dan pemenuhan terhadap ketentuan yang berlaku sehingga pada akhirnya dapat berkinerja lebih baik dan berkontribusi secara optimal.</w:t>
      </w:r>
    </w:p>
    <w:p w14:paraId="41A68995" w14:textId="77777777" w:rsidR="00DB5475" w:rsidRPr="007F541B" w:rsidRDefault="00DB5475" w:rsidP="00403D78">
      <w:pPr>
        <w:spacing w:before="120" w:line="259" w:lineRule="auto"/>
        <w:jc w:val="both"/>
        <w:rPr>
          <w:rFonts w:ascii="Bookman Old Style" w:hAnsi="Bookman Old Style"/>
          <w:b/>
          <w:sz w:val="22"/>
          <w:szCs w:val="22"/>
          <w:lang w:val="id-ID"/>
        </w:rPr>
      </w:pPr>
      <w:r w:rsidRPr="007F541B">
        <w:rPr>
          <w:rFonts w:ascii="Bookman Old Style" w:hAnsi="Bookman Old Style"/>
          <w:b/>
          <w:sz w:val="22"/>
          <w:szCs w:val="22"/>
          <w:lang w:val="id-ID"/>
        </w:rPr>
        <w:t>Perkembangan Sektor Inovasi Teknologi Sektor Keuangan (ITSK), Aset Keuangan Digital, dan Aset Kripto (IAKD)</w:t>
      </w:r>
    </w:p>
    <w:p w14:paraId="2CF8E149" w14:textId="24CB9191" w:rsidR="00DB5475" w:rsidRDefault="00E93BB9" w:rsidP="00DB5475">
      <w:pPr>
        <w:spacing w:before="120" w:line="259" w:lineRule="auto"/>
        <w:rPr>
          <w:rFonts w:ascii="Bookman Old Style" w:hAnsi="Bookman Old Style"/>
          <w:noProof/>
          <w:sz w:val="22"/>
          <w:szCs w:val="22"/>
          <w:lang w:val="id-ID"/>
        </w:rPr>
      </w:pPr>
      <w:r>
        <w:rPr>
          <w:rFonts w:ascii="Bookman Old Style" w:hAnsi="Bookman Old Style"/>
          <w:noProof/>
          <w:sz w:val="22"/>
          <w:szCs w:val="22"/>
          <w:lang w:val="id-ID"/>
        </w:rPr>
        <w:drawing>
          <wp:inline distT="0" distB="0" distL="0" distR="0" wp14:anchorId="207DCF83" wp14:editId="1A056038">
            <wp:extent cx="5729749" cy="1895475"/>
            <wp:effectExtent l="0" t="0" r="4445" b="0"/>
            <wp:docPr id="147674958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b="39997"/>
                    <a:stretch>
                      <a:fillRect/>
                    </a:stretch>
                  </pic:blipFill>
                  <pic:spPr bwMode="auto">
                    <a:xfrm>
                      <a:off x="0" y="0"/>
                      <a:ext cx="5738882" cy="1898496"/>
                    </a:xfrm>
                    <a:prstGeom prst="rect">
                      <a:avLst/>
                    </a:prstGeom>
                    <a:noFill/>
                    <a:ln>
                      <a:noFill/>
                    </a:ln>
                    <a:extLst>
                      <a:ext uri="{53640926-AAD7-44D8-BBD7-CCE9431645EC}">
                        <a14:shadowObscured xmlns:a14="http://schemas.microsoft.com/office/drawing/2010/main"/>
                      </a:ext>
                    </a:extLst>
                  </pic:spPr>
                </pic:pic>
              </a:graphicData>
            </a:graphic>
          </wp:inline>
        </w:drawing>
      </w:r>
    </w:p>
    <w:p w14:paraId="46287A8E" w14:textId="1B683373" w:rsidR="00E93BB9" w:rsidRPr="007F541B" w:rsidRDefault="00E93BB9" w:rsidP="00DB5475">
      <w:pPr>
        <w:spacing w:before="120" w:line="259" w:lineRule="auto"/>
        <w:rPr>
          <w:rFonts w:ascii="Bookman Old Style" w:hAnsi="Bookman Old Style"/>
          <w:noProof/>
          <w:sz w:val="22"/>
          <w:szCs w:val="22"/>
          <w:lang w:val="id-ID"/>
        </w:rPr>
      </w:pPr>
      <w:r w:rsidRPr="004A3A96">
        <w:rPr>
          <w:noProof/>
        </w:rPr>
        <w:drawing>
          <wp:inline distT="0" distB="0" distL="0" distR="0" wp14:anchorId="078A78CE" wp14:editId="4D6BABEB">
            <wp:extent cx="5731510" cy="1464418"/>
            <wp:effectExtent l="0" t="0" r="2540" b="2540"/>
            <wp:docPr id="12366000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61666"/>
                    <a:stretch>
                      <a:fillRect/>
                    </a:stretch>
                  </pic:blipFill>
                  <pic:spPr bwMode="auto">
                    <a:xfrm>
                      <a:off x="0" y="0"/>
                      <a:ext cx="5731510" cy="1464418"/>
                    </a:xfrm>
                    <a:prstGeom prst="rect">
                      <a:avLst/>
                    </a:prstGeom>
                    <a:noFill/>
                    <a:ln>
                      <a:noFill/>
                    </a:ln>
                    <a:extLst>
                      <a:ext uri="{53640926-AAD7-44D8-BBD7-CCE9431645EC}">
                        <a14:shadowObscured xmlns:a14="http://schemas.microsoft.com/office/drawing/2010/main"/>
                      </a:ext>
                    </a:extLst>
                  </pic:spPr>
                </pic:pic>
              </a:graphicData>
            </a:graphic>
          </wp:inline>
        </w:drawing>
      </w:r>
    </w:p>
    <w:p w14:paraId="1A4E10C6" w14:textId="0D52A1E1" w:rsidR="00A06D12" w:rsidRPr="007F541B" w:rsidRDefault="00B56577" w:rsidP="00D6168E">
      <w:pPr>
        <w:spacing w:before="120" w:after="0" w:line="276" w:lineRule="auto"/>
        <w:jc w:val="both"/>
        <w:rPr>
          <w:rFonts w:ascii="Bookman Old Style" w:hAnsi="Bookman Old Style"/>
          <w:bCs/>
          <w:sz w:val="22"/>
          <w:szCs w:val="22"/>
          <w:lang w:val="id-ID"/>
        </w:rPr>
      </w:pPr>
      <w:r>
        <w:rPr>
          <w:rFonts w:ascii="Bookman Old Style" w:hAnsi="Bookman Old Style"/>
          <w:bCs/>
          <w:sz w:val="22"/>
          <w:szCs w:val="22"/>
          <w:lang w:val="id-ID"/>
        </w:rPr>
        <w:t xml:space="preserve">1.  </w:t>
      </w:r>
      <w:r w:rsidR="00A06D12" w:rsidRPr="007F541B">
        <w:rPr>
          <w:rFonts w:ascii="Bookman Old Style" w:hAnsi="Bookman Old Style"/>
          <w:bCs/>
          <w:sz w:val="22"/>
          <w:szCs w:val="22"/>
          <w:lang w:val="id-ID"/>
        </w:rPr>
        <w:t xml:space="preserve">Pelaksanaan </w:t>
      </w:r>
      <w:r w:rsidR="00A06D12" w:rsidRPr="007F541B">
        <w:rPr>
          <w:rFonts w:ascii="Bookman Old Style" w:hAnsi="Bookman Old Style"/>
          <w:bCs/>
          <w:i/>
          <w:iCs/>
          <w:sz w:val="22"/>
          <w:szCs w:val="22"/>
          <w:lang w:val="id-ID"/>
        </w:rPr>
        <w:t>regulatory sandbox</w:t>
      </w:r>
      <w:r w:rsidR="00A06D12" w:rsidRPr="007F541B">
        <w:rPr>
          <w:rFonts w:ascii="Bookman Old Style" w:hAnsi="Bookman Old Style"/>
          <w:bCs/>
          <w:sz w:val="22"/>
          <w:szCs w:val="22"/>
          <w:lang w:val="id-ID"/>
        </w:rPr>
        <w:t>: </w:t>
      </w:r>
    </w:p>
    <w:p w14:paraId="3FE64642" w14:textId="5A7927F0" w:rsidR="00A06D12" w:rsidRPr="007F541B" w:rsidRDefault="0097312B" w:rsidP="00D6168E">
      <w:pPr>
        <w:numPr>
          <w:ilvl w:val="0"/>
          <w:numId w:val="39"/>
        </w:numPr>
        <w:spacing w:after="0" w:line="276" w:lineRule="auto"/>
        <w:ind w:left="714" w:hanging="357"/>
        <w:jc w:val="both"/>
        <w:rPr>
          <w:rFonts w:ascii="Bookman Old Style" w:hAnsi="Bookman Old Style"/>
          <w:bCs/>
          <w:sz w:val="22"/>
          <w:szCs w:val="22"/>
          <w:lang w:val="id-ID"/>
        </w:rPr>
      </w:pPr>
      <w:r>
        <w:rPr>
          <w:rFonts w:ascii="Bookman Old Style" w:hAnsi="Bookman Old Style"/>
          <w:bCs/>
          <w:sz w:val="22"/>
          <w:szCs w:val="22"/>
          <w:lang w:val="id-ID"/>
        </w:rPr>
        <w:t>M</w:t>
      </w:r>
      <w:r w:rsidR="00A06D12" w:rsidRPr="007F541B">
        <w:rPr>
          <w:rFonts w:ascii="Bookman Old Style" w:hAnsi="Bookman Old Style"/>
          <w:bCs/>
          <w:sz w:val="22"/>
          <w:szCs w:val="22"/>
          <w:lang w:val="id-ID"/>
        </w:rPr>
        <w:t xml:space="preserve">inat dari penyelenggara ITSK untuk menjadi peserta </w:t>
      </w:r>
      <w:r w:rsidR="00A06D12" w:rsidRPr="007F541B">
        <w:rPr>
          <w:rFonts w:ascii="Bookman Old Style" w:hAnsi="Bookman Old Style"/>
          <w:bCs/>
          <w:i/>
          <w:iCs/>
          <w:sz w:val="22"/>
          <w:szCs w:val="22"/>
          <w:lang w:val="id-ID"/>
        </w:rPr>
        <w:t>sandbox</w:t>
      </w:r>
      <w:r w:rsidR="00A06D12" w:rsidRPr="007F541B">
        <w:rPr>
          <w:rFonts w:ascii="Bookman Old Style" w:hAnsi="Bookman Old Style"/>
          <w:bCs/>
          <w:sz w:val="22"/>
          <w:szCs w:val="22"/>
          <w:lang w:val="id-ID"/>
        </w:rPr>
        <w:t xml:space="preserve"> OJK tercatat sangat tinggi. </w:t>
      </w:r>
      <w:r w:rsidR="00534AA7">
        <w:rPr>
          <w:rFonts w:ascii="Bookman Old Style" w:hAnsi="Bookman Old Style"/>
          <w:bCs/>
          <w:sz w:val="22"/>
          <w:szCs w:val="22"/>
          <w:lang w:val="id-ID"/>
        </w:rPr>
        <w:t>Sampai dengan periode</w:t>
      </w:r>
      <w:r w:rsidR="00A06D12" w:rsidRPr="007F541B">
        <w:rPr>
          <w:rFonts w:ascii="Bookman Old Style" w:hAnsi="Bookman Old Style"/>
          <w:bCs/>
          <w:sz w:val="22"/>
          <w:szCs w:val="22"/>
          <w:lang w:val="id-ID"/>
        </w:rPr>
        <w:t xml:space="preserve"> Juli 2025, OJK telah menerima 222 kali permintaan konsultasi dari calon peserta </w:t>
      </w:r>
      <w:r w:rsidR="00A06D12" w:rsidRPr="007F541B">
        <w:rPr>
          <w:rFonts w:ascii="Bookman Old Style" w:hAnsi="Bookman Old Style"/>
          <w:bCs/>
          <w:i/>
          <w:iCs/>
          <w:sz w:val="22"/>
          <w:szCs w:val="22"/>
          <w:lang w:val="id-ID"/>
        </w:rPr>
        <w:t>sandbox</w:t>
      </w:r>
      <w:r w:rsidR="00A06D12" w:rsidRPr="007F541B">
        <w:rPr>
          <w:rFonts w:ascii="Bookman Old Style" w:hAnsi="Bookman Old Style"/>
          <w:bCs/>
          <w:sz w:val="22"/>
          <w:szCs w:val="22"/>
          <w:lang w:val="id-ID"/>
        </w:rPr>
        <w:t xml:space="preserve">. Dari jumlah tersebut, terdapat 132 pihak yang telah menyampaikan </w:t>
      </w:r>
      <w:r w:rsidR="00A06D12" w:rsidRPr="007F541B">
        <w:rPr>
          <w:rFonts w:ascii="Bookman Old Style" w:hAnsi="Bookman Old Style"/>
          <w:bCs/>
          <w:i/>
          <w:iCs/>
          <w:sz w:val="22"/>
          <w:szCs w:val="22"/>
          <w:lang w:val="id-ID"/>
        </w:rPr>
        <w:t>form</w:t>
      </w:r>
      <w:r w:rsidR="00A06D12" w:rsidRPr="007F541B">
        <w:rPr>
          <w:rFonts w:ascii="Bookman Old Style" w:hAnsi="Bookman Old Style"/>
          <w:bCs/>
          <w:sz w:val="22"/>
          <w:szCs w:val="22"/>
          <w:lang w:val="id-ID"/>
        </w:rPr>
        <w:t xml:space="preserve"> konsultasi dan 120 di</w:t>
      </w:r>
      <w:r w:rsidR="00FC4AFC">
        <w:rPr>
          <w:rFonts w:ascii="Bookman Old Style" w:hAnsi="Bookman Old Style"/>
          <w:bCs/>
          <w:sz w:val="22"/>
          <w:szCs w:val="22"/>
          <w:lang w:val="id-ID"/>
        </w:rPr>
        <w:t xml:space="preserve"> </w:t>
      </w:r>
      <w:r w:rsidR="00A06D12" w:rsidRPr="007F541B">
        <w:rPr>
          <w:rFonts w:ascii="Bookman Old Style" w:hAnsi="Bookman Old Style"/>
          <w:bCs/>
          <w:sz w:val="22"/>
          <w:szCs w:val="22"/>
          <w:lang w:val="id-ID"/>
        </w:rPr>
        <w:t xml:space="preserve">antaranya telah melakukan konsultasi. </w:t>
      </w:r>
    </w:p>
    <w:p w14:paraId="00223303" w14:textId="74FDF9C7" w:rsidR="00A06D12" w:rsidRPr="007F541B" w:rsidRDefault="00A06D12" w:rsidP="00D6168E">
      <w:pPr>
        <w:numPr>
          <w:ilvl w:val="0"/>
          <w:numId w:val="40"/>
        </w:numPr>
        <w:spacing w:after="120" w:line="276" w:lineRule="auto"/>
        <w:ind w:left="714" w:hanging="357"/>
        <w:jc w:val="both"/>
        <w:rPr>
          <w:rFonts w:ascii="Bookman Old Style" w:hAnsi="Bookman Old Style"/>
          <w:bCs/>
          <w:sz w:val="22"/>
          <w:szCs w:val="22"/>
          <w:lang w:val="id-ID"/>
        </w:rPr>
      </w:pPr>
      <w:r w:rsidRPr="007F541B">
        <w:rPr>
          <w:rFonts w:ascii="Bookman Old Style" w:hAnsi="Bookman Old Style"/>
          <w:bCs/>
          <w:sz w:val="22"/>
          <w:szCs w:val="22"/>
          <w:lang w:val="id-ID"/>
        </w:rPr>
        <w:t xml:space="preserve">OJK telah menerima 18 permohonan untuk menjadi peserta </w:t>
      </w:r>
      <w:r w:rsidRPr="007F541B">
        <w:rPr>
          <w:rFonts w:ascii="Bookman Old Style" w:hAnsi="Bookman Old Style"/>
          <w:bCs/>
          <w:i/>
          <w:iCs/>
          <w:sz w:val="22"/>
          <w:szCs w:val="22"/>
          <w:lang w:val="id-ID"/>
        </w:rPr>
        <w:t>sandbox</w:t>
      </w:r>
      <w:r w:rsidRPr="007F541B">
        <w:rPr>
          <w:rFonts w:ascii="Bookman Old Style" w:hAnsi="Bookman Old Style"/>
          <w:bCs/>
          <w:sz w:val="22"/>
          <w:szCs w:val="22"/>
          <w:lang w:val="id-ID"/>
        </w:rPr>
        <w:t>, 8 di</w:t>
      </w:r>
      <w:r w:rsidR="00FC4AFC">
        <w:rPr>
          <w:rFonts w:ascii="Bookman Old Style" w:hAnsi="Bookman Old Style"/>
          <w:bCs/>
          <w:sz w:val="22"/>
          <w:szCs w:val="22"/>
          <w:lang w:val="id-ID"/>
        </w:rPr>
        <w:t xml:space="preserve"> </w:t>
      </w:r>
      <w:r w:rsidRPr="007F541B">
        <w:rPr>
          <w:rFonts w:ascii="Bookman Old Style" w:hAnsi="Bookman Old Style"/>
          <w:bCs/>
          <w:sz w:val="22"/>
          <w:szCs w:val="22"/>
          <w:lang w:val="id-ID"/>
        </w:rPr>
        <w:t xml:space="preserve">antaranya telah disetujui sebagai peserta </w:t>
      </w:r>
      <w:r w:rsidRPr="007F541B">
        <w:rPr>
          <w:rFonts w:ascii="Bookman Old Style" w:hAnsi="Bookman Old Style"/>
          <w:bCs/>
          <w:i/>
          <w:iCs/>
          <w:sz w:val="22"/>
          <w:szCs w:val="22"/>
          <w:lang w:val="id-ID"/>
        </w:rPr>
        <w:t>sandbox</w:t>
      </w:r>
      <w:r w:rsidRPr="007F541B">
        <w:rPr>
          <w:rFonts w:ascii="Bookman Old Style" w:hAnsi="Bookman Old Style"/>
          <w:bCs/>
          <w:sz w:val="22"/>
          <w:szCs w:val="22"/>
          <w:lang w:val="id-ID"/>
        </w:rPr>
        <w:t xml:space="preserve"> yang terdiri dari 7 penyelenggara ITSK dengan model bisnis Aset Keuangan Digital dan Aset Kripto (AKD-AK) dan 1 penyelenggara ITSK dengan model bisnis Pendukung Pasar. Saat ini, sedang dilakukan proses evaluasi terhadap 4 permohonan untuk menjadi peserta </w:t>
      </w:r>
      <w:r w:rsidRPr="007F541B">
        <w:rPr>
          <w:rFonts w:ascii="Bookman Old Style" w:hAnsi="Bookman Old Style"/>
          <w:bCs/>
          <w:i/>
          <w:iCs/>
          <w:sz w:val="22"/>
          <w:szCs w:val="22"/>
          <w:lang w:val="id-ID"/>
        </w:rPr>
        <w:t>sandbox</w:t>
      </w:r>
      <w:r w:rsidRPr="007F541B">
        <w:rPr>
          <w:rFonts w:ascii="Bookman Old Style" w:hAnsi="Bookman Old Style"/>
          <w:bCs/>
          <w:sz w:val="22"/>
          <w:szCs w:val="22"/>
          <w:lang w:val="id-ID"/>
        </w:rPr>
        <w:t xml:space="preserve">, terdiri dari 3 penyelenggara dengan model bisnis AKD-AK dan 1 penyelenggara dengan model bisnis </w:t>
      </w:r>
      <w:r w:rsidRPr="007F541B">
        <w:rPr>
          <w:rFonts w:ascii="Bookman Old Style" w:hAnsi="Bookman Old Style"/>
          <w:bCs/>
          <w:i/>
          <w:iCs/>
          <w:sz w:val="22"/>
          <w:szCs w:val="22"/>
          <w:lang w:val="id-ID"/>
        </w:rPr>
        <w:t>open finance</w:t>
      </w:r>
      <w:r w:rsidRPr="007F541B">
        <w:rPr>
          <w:rFonts w:ascii="Bookman Old Style" w:hAnsi="Bookman Old Style"/>
          <w:bCs/>
          <w:sz w:val="22"/>
          <w:szCs w:val="22"/>
          <w:lang w:val="id-ID"/>
        </w:rPr>
        <w:t>. </w:t>
      </w:r>
    </w:p>
    <w:p w14:paraId="3B0BB62F" w14:textId="77777777" w:rsidR="00A06D12" w:rsidRPr="007F541B" w:rsidRDefault="00A06D12" w:rsidP="00D6168E">
      <w:pPr>
        <w:numPr>
          <w:ilvl w:val="0"/>
          <w:numId w:val="41"/>
        </w:numPr>
        <w:tabs>
          <w:tab w:val="clear" w:pos="2912"/>
        </w:tabs>
        <w:spacing w:before="120" w:after="0" w:line="276" w:lineRule="auto"/>
        <w:ind w:left="284"/>
        <w:jc w:val="both"/>
        <w:rPr>
          <w:rFonts w:ascii="Bookman Old Style" w:hAnsi="Bookman Old Style"/>
          <w:bCs/>
          <w:sz w:val="22"/>
          <w:szCs w:val="22"/>
          <w:lang w:val="id-ID"/>
        </w:rPr>
      </w:pPr>
      <w:r w:rsidRPr="007F541B">
        <w:rPr>
          <w:rFonts w:ascii="Bookman Old Style" w:hAnsi="Bookman Old Style"/>
          <w:bCs/>
          <w:sz w:val="22"/>
          <w:szCs w:val="22"/>
          <w:lang w:val="id-ID"/>
        </w:rPr>
        <w:lastRenderedPageBreak/>
        <w:t>Perizinan penyelenggara ITSK: </w:t>
      </w:r>
    </w:p>
    <w:p w14:paraId="4B58F67A" w14:textId="4A25040C" w:rsidR="00A06D12" w:rsidRPr="007F541B" w:rsidRDefault="00A06D12" w:rsidP="00D6168E">
      <w:pPr>
        <w:numPr>
          <w:ilvl w:val="1"/>
          <w:numId w:val="41"/>
        </w:numPr>
        <w:spacing w:after="0" w:line="276" w:lineRule="auto"/>
        <w:ind w:left="709" w:hanging="357"/>
        <w:jc w:val="both"/>
        <w:rPr>
          <w:rFonts w:ascii="Bookman Old Style" w:hAnsi="Bookman Old Style"/>
          <w:bCs/>
          <w:sz w:val="22"/>
          <w:szCs w:val="22"/>
          <w:lang w:val="id-ID"/>
        </w:rPr>
      </w:pPr>
      <w:r w:rsidRPr="007F541B">
        <w:rPr>
          <w:rFonts w:ascii="Bookman Old Style" w:hAnsi="Bookman Old Style"/>
          <w:bCs/>
          <w:sz w:val="22"/>
          <w:szCs w:val="22"/>
          <w:lang w:val="id-ID"/>
        </w:rPr>
        <w:t xml:space="preserve">Sehubungan dengan telah selesainya proses pendaftaran bagi seluruh penyelenggara ITSK dengan model bisnis </w:t>
      </w:r>
      <w:r w:rsidR="00DD26A3">
        <w:rPr>
          <w:rFonts w:ascii="Bookman Old Style" w:hAnsi="Bookman Old Style"/>
          <w:bCs/>
          <w:sz w:val="22"/>
          <w:szCs w:val="22"/>
          <w:lang w:val="id-ID"/>
        </w:rPr>
        <w:t>Pemeringkat Kredit Alternatif (</w:t>
      </w:r>
      <w:r w:rsidRPr="007F541B">
        <w:rPr>
          <w:rFonts w:ascii="Bookman Old Style" w:hAnsi="Bookman Old Style"/>
          <w:bCs/>
          <w:sz w:val="22"/>
          <w:szCs w:val="22"/>
          <w:lang w:val="id-ID"/>
        </w:rPr>
        <w:t>PKA</w:t>
      </w:r>
      <w:r w:rsidR="00DD26A3">
        <w:rPr>
          <w:rFonts w:ascii="Bookman Old Style" w:hAnsi="Bookman Old Style"/>
          <w:bCs/>
          <w:sz w:val="22"/>
          <w:szCs w:val="22"/>
          <w:lang w:val="id-ID"/>
        </w:rPr>
        <w:t>)</w:t>
      </w:r>
      <w:r w:rsidRPr="007F541B">
        <w:rPr>
          <w:rFonts w:ascii="Bookman Old Style" w:hAnsi="Bookman Old Style"/>
          <w:bCs/>
          <w:sz w:val="22"/>
          <w:szCs w:val="22"/>
          <w:lang w:val="id-ID"/>
        </w:rPr>
        <w:t xml:space="preserve"> dan </w:t>
      </w:r>
      <w:r w:rsidR="00570564">
        <w:rPr>
          <w:rFonts w:ascii="Bookman Old Style" w:hAnsi="Bookman Old Style"/>
          <w:bCs/>
          <w:sz w:val="22"/>
          <w:szCs w:val="22"/>
          <w:lang w:val="id-ID"/>
        </w:rPr>
        <w:t>Penyelenggara Agregasi Jasa Keuangan (</w:t>
      </w:r>
      <w:r w:rsidRPr="007F541B">
        <w:rPr>
          <w:rFonts w:ascii="Bookman Old Style" w:hAnsi="Bookman Old Style"/>
          <w:bCs/>
          <w:sz w:val="22"/>
          <w:szCs w:val="22"/>
          <w:lang w:val="id-ID"/>
        </w:rPr>
        <w:t>PAJK</w:t>
      </w:r>
      <w:r w:rsidR="00570564">
        <w:rPr>
          <w:rFonts w:ascii="Bookman Old Style" w:hAnsi="Bookman Old Style"/>
          <w:bCs/>
          <w:sz w:val="22"/>
          <w:szCs w:val="22"/>
          <w:lang w:val="id-ID"/>
        </w:rPr>
        <w:t>)</w:t>
      </w:r>
      <w:r w:rsidRPr="007F541B">
        <w:rPr>
          <w:rFonts w:ascii="Bookman Old Style" w:hAnsi="Bookman Old Style"/>
          <w:bCs/>
          <w:sz w:val="22"/>
          <w:szCs w:val="22"/>
          <w:lang w:val="id-ID"/>
        </w:rPr>
        <w:t xml:space="preserve">, yang sebelumnya telah dinyatakan lulus dari </w:t>
      </w:r>
      <w:r w:rsidR="005C5AD1">
        <w:rPr>
          <w:rFonts w:ascii="Bookman Old Style" w:hAnsi="Bookman Old Style"/>
          <w:bCs/>
          <w:sz w:val="22"/>
          <w:szCs w:val="22"/>
          <w:lang w:val="id-ID"/>
        </w:rPr>
        <w:t xml:space="preserve">proses </w:t>
      </w:r>
      <w:r w:rsidR="004C5566" w:rsidRPr="00D6168E">
        <w:rPr>
          <w:rFonts w:ascii="Bookman Old Style" w:hAnsi="Bookman Old Style"/>
          <w:bCs/>
          <w:i/>
          <w:iCs/>
          <w:sz w:val="22"/>
          <w:szCs w:val="22"/>
          <w:lang w:val="id-ID"/>
        </w:rPr>
        <w:t>s</w:t>
      </w:r>
      <w:r w:rsidRPr="00D6168E">
        <w:rPr>
          <w:rFonts w:ascii="Bookman Old Style" w:hAnsi="Bookman Old Style"/>
          <w:bCs/>
          <w:i/>
          <w:iCs/>
          <w:sz w:val="22"/>
          <w:szCs w:val="22"/>
          <w:lang w:val="id-ID"/>
        </w:rPr>
        <w:t>andbox</w:t>
      </w:r>
      <w:r w:rsidRPr="007F541B">
        <w:rPr>
          <w:rFonts w:ascii="Bookman Old Style" w:hAnsi="Bookman Old Style"/>
          <w:bCs/>
          <w:sz w:val="22"/>
          <w:szCs w:val="22"/>
          <w:lang w:val="id-ID"/>
        </w:rPr>
        <w:t xml:space="preserve"> OJK, maka sesuai </w:t>
      </w:r>
      <w:r w:rsidRPr="000E2171">
        <w:rPr>
          <w:rFonts w:ascii="Bookman Old Style" w:hAnsi="Bookman Old Style"/>
          <w:bCs/>
          <w:sz w:val="22"/>
          <w:szCs w:val="22"/>
          <w:lang w:val="id-ID"/>
        </w:rPr>
        <w:t>POJK Nomor 3</w:t>
      </w:r>
      <w:r w:rsidR="00BD5A64" w:rsidRPr="000E2171">
        <w:rPr>
          <w:rFonts w:ascii="Bookman Old Style" w:hAnsi="Bookman Old Style"/>
          <w:bCs/>
          <w:sz w:val="22"/>
          <w:szCs w:val="22"/>
          <w:lang w:val="id-ID"/>
        </w:rPr>
        <w:t xml:space="preserve"> Tahun </w:t>
      </w:r>
      <w:r w:rsidRPr="000E2171">
        <w:rPr>
          <w:rFonts w:ascii="Bookman Old Style" w:hAnsi="Bookman Old Style"/>
          <w:bCs/>
          <w:sz w:val="22"/>
          <w:szCs w:val="22"/>
          <w:lang w:val="id-ID"/>
        </w:rPr>
        <w:t>2024 tentang Penyelenggaraan ITSK</w:t>
      </w:r>
      <w:r w:rsidRPr="007F541B">
        <w:rPr>
          <w:rFonts w:ascii="Bookman Old Style" w:hAnsi="Bookman Old Style"/>
          <w:bCs/>
          <w:sz w:val="22"/>
          <w:szCs w:val="22"/>
          <w:lang w:val="id-ID"/>
        </w:rPr>
        <w:t xml:space="preserve">, penyelenggara ITSK yang telah mendapat status terdaftar tersebut wajib untuk mengajukan permohonan izin usaha kepada OJK. Sedangkan bagi calon penyelenggara PKA dan PAJK baru, dapat langsung mengajukan permohonan izin usaha kepada OJK. </w:t>
      </w:r>
    </w:p>
    <w:p w14:paraId="2EF48089" w14:textId="77777777" w:rsidR="00A06D12" w:rsidRPr="007F541B" w:rsidRDefault="00A06D12" w:rsidP="00D6168E">
      <w:pPr>
        <w:numPr>
          <w:ilvl w:val="1"/>
          <w:numId w:val="41"/>
        </w:numPr>
        <w:spacing w:after="120" w:line="276" w:lineRule="auto"/>
        <w:ind w:left="709"/>
        <w:jc w:val="both"/>
        <w:rPr>
          <w:rFonts w:ascii="Bookman Old Style" w:hAnsi="Bookman Old Style"/>
          <w:bCs/>
          <w:sz w:val="22"/>
          <w:szCs w:val="22"/>
          <w:lang w:val="id-ID"/>
        </w:rPr>
      </w:pPr>
      <w:r w:rsidRPr="007F541B">
        <w:rPr>
          <w:rFonts w:ascii="Bookman Old Style" w:hAnsi="Bookman Old Style"/>
          <w:bCs/>
          <w:sz w:val="22"/>
          <w:szCs w:val="22"/>
          <w:lang w:val="id-ID"/>
        </w:rPr>
        <w:t>Sampai dengan Juli 2025, terdapat 6 permohonan izin usaha penyelenggara ITSK yang terdiri dari 2 PKA dan 4 PAJK. Adapun terhadap permohonan izin usaha penyelenggara ITSK tersebut, saat ini seluruhnya dalam proses evaluasi oleh OJK.</w:t>
      </w:r>
    </w:p>
    <w:p w14:paraId="74F3D5EB" w14:textId="09192DC2" w:rsidR="00A06D12" w:rsidRPr="007F541B" w:rsidRDefault="00A06D12" w:rsidP="00D6168E">
      <w:pPr>
        <w:numPr>
          <w:ilvl w:val="0"/>
          <w:numId w:val="41"/>
        </w:numPr>
        <w:tabs>
          <w:tab w:val="clear" w:pos="2912"/>
          <w:tab w:val="num" w:pos="720"/>
        </w:tabs>
        <w:spacing w:before="60" w:after="120" w:line="276" w:lineRule="auto"/>
        <w:ind w:left="283" w:hanging="357"/>
        <w:jc w:val="both"/>
        <w:rPr>
          <w:rFonts w:ascii="Bookman Old Style" w:hAnsi="Bookman Old Style"/>
          <w:bCs/>
          <w:sz w:val="22"/>
          <w:szCs w:val="22"/>
          <w:lang w:val="id-ID"/>
        </w:rPr>
      </w:pPr>
      <w:r w:rsidRPr="007F541B">
        <w:rPr>
          <w:rFonts w:ascii="Bookman Old Style" w:hAnsi="Bookman Old Style"/>
          <w:bCs/>
          <w:sz w:val="22"/>
          <w:szCs w:val="22"/>
          <w:lang w:val="id-ID"/>
        </w:rPr>
        <w:t>Berdasarkan laporan per Juni 2025, penyelenggara ITSK yang terdaftar di OJK telah berhasil menjalin 1.027 kemitraan dengan</w:t>
      </w:r>
      <w:r w:rsidR="00A1394E">
        <w:rPr>
          <w:rFonts w:ascii="Bookman Old Style" w:hAnsi="Bookman Old Style"/>
          <w:bCs/>
          <w:sz w:val="22"/>
          <w:szCs w:val="22"/>
          <w:lang w:val="id-ID"/>
        </w:rPr>
        <w:t xml:space="preserve"> LJK</w:t>
      </w:r>
      <w:r w:rsidRPr="007F541B">
        <w:rPr>
          <w:rFonts w:ascii="Bookman Old Style" w:hAnsi="Bookman Old Style"/>
          <w:bCs/>
          <w:sz w:val="22"/>
          <w:szCs w:val="22"/>
          <w:lang w:val="id-ID"/>
        </w:rPr>
        <w:t xml:space="preserve"> dari berbagai sektor, seperti perbankan, perusahaan pembiayaan, perasuransian, perusahaan sekuritas, </w:t>
      </w:r>
      <w:r w:rsidR="00400DDF">
        <w:rPr>
          <w:rFonts w:ascii="Bookman Old Style" w:hAnsi="Bookman Old Style"/>
          <w:bCs/>
          <w:sz w:val="22"/>
          <w:szCs w:val="22"/>
          <w:lang w:val="id-ID"/>
        </w:rPr>
        <w:t>P</w:t>
      </w:r>
      <w:r w:rsidR="00E32C33">
        <w:rPr>
          <w:rFonts w:ascii="Bookman Old Style" w:hAnsi="Bookman Old Style"/>
          <w:bCs/>
          <w:sz w:val="22"/>
          <w:szCs w:val="22"/>
          <w:lang w:val="id-ID"/>
        </w:rPr>
        <w:t>indar</w:t>
      </w:r>
      <w:r w:rsidRPr="007F541B">
        <w:rPr>
          <w:rFonts w:ascii="Bookman Old Style" w:hAnsi="Bookman Old Style"/>
          <w:bCs/>
          <w:sz w:val="22"/>
          <w:szCs w:val="22"/>
          <w:lang w:val="id-ID"/>
        </w:rPr>
        <w:t xml:space="preserve">, lembaga keuangan mikro, dan pegadaian, serta dengan pihak penyedia jasa teknologi informasi dan penyedia sumber data. </w:t>
      </w:r>
    </w:p>
    <w:p w14:paraId="49628385" w14:textId="78F95B84" w:rsidR="00A06D12" w:rsidRPr="007F541B" w:rsidRDefault="00F9390E" w:rsidP="00D6168E">
      <w:pPr>
        <w:numPr>
          <w:ilvl w:val="0"/>
          <w:numId w:val="41"/>
        </w:numPr>
        <w:tabs>
          <w:tab w:val="clear" w:pos="2912"/>
          <w:tab w:val="num" w:pos="720"/>
        </w:tabs>
        <w:spacing w:before="60" w:after="0" w:line="276" w:lineRule="auto"/>
        <w:ind w:left="283" w:hanging="357"/>
        <w:jc w:val="both"/>
        <w:rPr>
          <w:rFonts w:ascii="Bookman Old Style" w:hAnsi="Bookman Old Style"/>
          <w:bCs/>
          <w:sz w:val="22"/>
          <w:szCs w:val="22"/>
          <w:lang w:val="id-ID"/>
        </w:rPr>
      </w:pPr>
      <w:r>
        <w:rPr>
          <w:rFonts w:ascii="Bookman Old Style" w:hAnsi="Bookman Old Style"/>
          <w:bCs/>
          <w:sz w:val="22"/>
          <w:szCs w:val="22"/>
          <w:lang w:val="id-ID"/>
        </w:rPr>
        <w:t>S</w:t>
      </w:r>
      <w:r w:rsidR="00A06D12" w:rsidRPr="007F541B">
        <w:rPr>
          <w:rFonts w:ascii="Bookman Old Style" w:hAnsi="Bookman Old Style"/>
          <w:bCs/>
          <w:sz w:val="22"/>
          <w:szCs w:val="22"/>
          <w:lang w:val="id-ID"/>
        </w:rPr>
        <w:t xml:space="preserve">elama bulan Juni 2025, Penyelenggara ITSK dengan jenis PAJK berhasil menyelesaikan transaksi yang disetujui mitra senilai Rp2,29 triliun dan telah mencapai total nilai transaksi sebesar Rp12,57 triliun </w:t>
      </w:r>
      <w:r w:rsidR="00D464CB">
        <w:rPr>
          <w:rFonts w:ascii="Bookman Old Style" w:hAnsi="Bookman Old Style"/>
          <w:bCs/>
          <w:i/>
          <w:iCs/>
          <w:sz w:val="22"/>
          <w:szCs w:val="22"/>
          <w:lang w:val="id-ID"/>
        </w:rPr>
        <w:t>ytd</w:t>
      </w:r>
      <w:r w:rsidR="00A06D12" w:rsidRPr="007F541B">
        <w:rPr>
          <w:rFonts w:ascii="Bookman Old Style" w:hAnsi="Bookman Old Style"/>
          <w:bCs/>
          <w:sz w:val="22"/>
          <w:szCs w:val="22"/>
          <w:lang w:val="id-ID"/>
        </w:rPr>
        <w:t xml:space="preserve"> dengan jumlah pengguna PAJK </w:t>
      </w:r>
      <w:r w:rsidR="00A06D12" w:rsidRPr="000E2171">
        <w:rPr>
          <w:rFonts w:ascii="Bookman Old Style" w:hAnsi="Bookman Old Style"/>
          <w:bCs/>
          <w:sz w:val="22"/>
          <w:szCs w:val="22"/>
          <w:lang w:val="id-ID"/>
        </w:rPr>
        <w:t xml:space="preserve">tercatat </w:t>
      </w:r>
      <w:r w:rsidR="00A06D12" w:rsidRPr="007F541B">
        <w:rPr>
          <w:rFonts w:ascii="Bookman Old Style" w:hAnsi="Bookman Old Style"/>
          <w:bCs/>
          <w:sz w:val="22"/>
          <w:szCs w:val="22"/>
          <w:lang w:val="id-ID"/>
        </w:rPr>
        <w:t>sebanyak 6,91 juta</w:t>
      </w:r>
      <w:r w:rsidR="00A06D12" w:rsidRPr="000E2171">
        <w:rPr>
          <w:rFonts w:ascii="Bookman Old Style" w:hAnsi="Bookman Old Style"/>
          <w:bCs/>
          <w:sz w:val="22"/>
          <w:szCs w:val="22"/>
          <w:lang w:val="id-ID"/>
        </w:rPr>
        <w:t xml:space="preserve"> </w:t>
      </w:r>
      <w:r w:rsidR="00A06D12" w:rsidRPr="007F541B">
        <w:rPr>
          <w:rFonts w:ascii="Bookman Old Style" w:hAnsi="Bookman Old Style"/>
          <w:bCs/>
          <w:sz w:val="22"/>
          <w:szCs w:val="22"/>
          <w:lang w:val="id-ID"/>
        </w:rPr>
        <w:t>yang tersebar di seluruh wilayah Indonesia. Selain itu, jumlah permintaan data skor kredit (</w:t>
      </w:r>
      <w:r w:rsidR="00A06D12" w:rsidRPr="00D6168E">
        <w:rPr>
          <w:rFonts w:ascii="Bookman Old Style" w:hAnsi="Bookman Old Style"/>
          <w:i/>
          <w:sz w:val="22"/>
          <w:szCs w:val="22"/>
          <w:lang w:val="id-ID"/>
        </w:rPr>
        <w:t>inquiry/hit</w:t>
      </w:r>
      <w:r w:rsidR="00A06D12" w:rsidRPr="007F541B">
        <w:rPr>
          <w:rFonts w:ascii="Bookman Old Style" w:hAnsi="Bookman Old Style"/>
          <w:bCs/>
          <w:sz w:val="22"/>
          <w:szCs w:val="22"/>
          <w:lang w:val="id-ID"/>
        </w:rPr>
        <w:t xml:space="preserve">) yang diterima oleh penyelenggara ITSK dengan jenis PKA selama bulan Juni 2025 tercatat mencapai 27,58 juta </w:t>
      </w:r>
      <w:r w:rsidR="00A06D12" w:rsidRPr="00D6168E">
        <w:rPr>
          <w:rFonts w:ascii="Bookman Old Style" w:hAnsi="Bookman Old Style"/>
          <w:i/>
          <w:sz w:val="22"/>
          <w:szCs w:val="22"/>
          <w:lang w:val="id-ID"/>
        </w:rPr>
        <w:t>hit</w:t>
      </w:r>
      <w:r w:rsidR="00A06D12" w:rsidRPr="007F541B">
        <w:rPr>
          <w:rFonts w:ascii="Bookman Old Style" w:hAnsi="Bookman Old Style"/>
          <w:bCs/>
          <w:sz w:val="22"/>
          <w:szCs w:val="22"/>
          <w:lang w:val="id-ID"/>
        </w:rPr>
        <w:t xml:space="preserve"> dan telah mencapai total </w:t>
      </w:r>
      <w:r w:rsidR="00A06D12" w:rsidRPr="00D6168E">
        <w:rPr>
          <w:rFonts w:ascii="Bookman Old Style" w:hAnsi="Bookman Old Style"/>
          <w:i/>
          <w:sz w:val="22"/>
          <w:szCs w:val="22"/>
          <w:lang w:val="id-ID"/>
        </w:rPr>
        <w:t>hit</w:t>
      </w:r>
      <w:r w:rsidR="00A06D12" w:rsidRPr="007F541B">
        <w:rPr>
          <w:rFonts w:ascii="Bookman Old Style" w:hAnsi="Bookman Old Style"/>
          <w:bCs/>
          <w:sz w:val="22"/>
          <w:szCs w:val="22"/>
          <w:lang w:val="id-ID"/>
        </w:rPr>
        <w:t xml:space="preserve"> sebanyak 108,07 juta hit secara </w:t>
      </w:r>
      <w:r w:rsidR="00A06D12" w:rsidRPr="007F541B">
        <w:rPr>
          <w:rFonts w:ascii="Bookman Old Style" w:hAnsi="Bookman Old Style"/>
          <w:bCs/>
          <w:i/>
          <w:iCs/>
          <w:sz w:val="22"/>
          <w:szCs w:val="22"/>
          <w:lang w:val="id-ID"/>
        </w:rPr>
        <w:t>year-to-date</w:t>
      </w:r>
      <w:r w:rsidR="00A06D12" w:rsidRPr="007F541B">
        <w:rPr>
          <w:rFonts w:ascii="Bookman Old Style" w:hAnsi="Bookman Old Style"/>
          <w:bCs/>
          <w:sz w:val="22"/>
          <w:szCs w:val="22"/>
          <w:lang w:val="id-ID"/>
        </w:rPr>
        <w:t xml:space="preserve">. Hal ini menunjukkan bahwa kehadiran layanan dari penyelenggara ITSK telah berkontribusi dalam peningkatan pendalaman pasar di sektor jasa keuangan, serta meningkatkan </w:t>
      </w:r>
      <w:r w:rsidR="00A06D12" w:rsidRPr="000E2171">
        <w:rPr>
          <w:rFonts w:ascii="Bookman Old Style" w:hAnsi="Bookman Old Style"/>
          <w:bCs/>
          <w:sz w:val="22"/>
          <w:szCs w:val="22"/>
          <w:lang w:val="id-ID"/>
        </w:rPr>
        <w:t xml:space="preserve">aksesibilitas dan </w:t>
      </w:r>
      <w:r w:rsidR="00A06D12" w:rsidRPr="007F541B">
        <w:rPr>
          <w:rFonts w:ascii="Bookman Old Style" w:hAnsi="Bookman Old Style"/>
          <w:bCs/>
          <w:sz w:val="22"/>
          <w:szCs w:val="22"/>
          <w:lang w:val="id-ID"/>
        </w:rPr>
        <w:t xml:space="preserve">inklusi pemanfaatan produk dan layanan </w:t>
      </w:r>
      <w:r w:rsidR="007544A4">
        <w:rPr>
          <w:rFonts w:ascii="Bookman Old Style" w:hAnsi="Bookman Old Style"/>
          <w:bCs/>
          <w:sz w:val="22"/>
          <w:szCs w:val="22"/>
          <w:lang w:val="id-ID"/>
        </w:rPr>
        <w:t>pembiayaan</w:t>
      </w:r>
      <w:r w:rsidR="00A06D12" w:rsidRPr="007F541B">
        <w:rPr>
          <w:rFonts w:ascii="Bookman Old Style" w:hAnsi="Bookman Old Style"/>
          <w:bCs/>
          <w:sz w:val="22"/>
          <w:szCs w:val="22"/>
          <w:lang w:val="id-ID"/>
        </w:rPr>
        <w:t xml:space="preserve"> jasa keuangan.  </w:t>
      </w:r>
    </w:p>
    <w:p w14:paraId="635C5590" w14:textId="3497BD26" w:rsidR="00A06D12" w:rsidRPr="007F541B" w:rsidRDefault="00A06D12" w:rsidP="00D6168E">
      <w:pPr>
        <w:numPr>
          <w:ilvl w:val="0"/>
          <w:numId w:val="41"/>
        </w:numPr>
        <w:tabs>
          <w:tab w:val="clear" w:pos="2912"/>
          <w:tab w:val="num" w:pos="720"/>
        </w:tabs>
        <w:spacing w:before="60" w:after="0" w:line="276" w:lineRule="auto"/>
        <w:ind w:left="283" w:hanging="357"/>
        <w:jc w:val="both"/>
        <w:rPr>
          <w:rFonts w:ascii="Bookman Old Style" w:hAnsi="Bookman Old Style"/>
          <w:bCs/>
          <w:sz w:val="22"/>
          <w:szCs w:val="22"/>
          <w:lang w:val="id-ID"/>
        </w:rPr>
      </w:pPr>
      <w:r w:rsidRPr="007F541B">
        <w:rPr>
          <w:rFonts w:ascii="Bookman Old Style" w:hAnsi="Bookman Old Style"/>
          <w:bCs/>
          <w:sz w:val="22"/>
          <w:szCs w:val="22"/>
          <w:lang w:val="id-ID"/>
        </w:rPr>
        <w:t>Per Juli 2025, tercatat 1.1</w:t>
      </w:r>
      <w:r w:rsidR="00CD1F10">
        <w:rPr>
          <w:rFonts w:ascii="Bookman Old Style" w:hAnsi="Bookman Old Style"/>
          <w:bCs/>
          <w:sz w:val="22"/>
          <w:szCs w:val="22"/>
          <w:lang w:val="id-ID"/>
        </w:rPr>
        <w:t>81</w:t>
      </w:r>
      <w:r w:rsidRPr="007F541B">
        <w:rPr>
          <w:rFonts w:ascii="Bookman Old Style" w:hAnsi="Bookman Old Style"/>
          <w:bCs/>
          <w:sz w:val="22"/>
          <w:szCs w:val="22"/>
          <w:lang w:val="id-ID"/>
        </w:rPr>
        <w:t xml:space="preserve"> aset kripto yang dapat diperdagangkan. OJK telah menyetujui perizinan 23 entitas di ekosistem perdagangan aset kripto, yang terdiri dari 1 bursa kripto, 1 lembaga kliring penjaminan dan penyelesaian, 1 pengelola tempat penyimpanan, dan 20 pedagang aset kripto, serta sedang melanjutkan proses perizinan terhadap 10 calon pedagang aset kripto. </w:t>
      </w:r>
    </w:p>
    <w:p w14:paraId="684B63C1" w14:textId="77777777" w:rsidR="00A06D12" w:rsidRPr="007F541B" w:rsidRDefault="00A06D12" w:rsidP="00D6168E">
      <w:pPr>
        <w:numPr>
          <w:ilvl w:val="0"/>
          <w:numId w:val="41"/>
        </w:numPr>
        <w:tabs>
          <w:tab w:val="clear" w:pos="2912"/>
          <w:tab w:val="num" w:pos="720"/>
        </w:tabs>
        <w:spacing w:before="60" w:after="0" w:line="276" w:lineRule="auto"/>
        <w:ind w:left="283" w:hanging="357"/>
        <w:jc w:val="both"/>
        <w:rPr>
          <w:rFonts w:ascii="Bookman Old Style" w:hAnsi="Bookman Old Style"/>
          <w:bCs/>
          <w:sz w:val="22"/>
          <w:szCs w:val="22"/>
          <w:lang w:val="id-ID"/>
        </w:rPr>
      </w:pPr>
      <w:r w:rsidRPr="007F541B">
        <w:rPr>
          <w:rFonts w:ascii="Bookman Old Style" w:hAnsi="Bookman Old Style"/>
          <w:bCs/>
          <w:sz w:val="22"/>
          <w:szCs w:val="22"/>
          <w:lang w:val="id-ID"/>
        </w:rPr>
        <w:t>Sehubungan dengan perkembangan aktivitas aset kripto di Indonesia, jumlah konsumen pedagang aset kripto berada dalam tren meningkat, yaitu mencapai 15,85 juta konsumen pada posisi Juni 2025 (</w:t>
      </w:r>
      <w:r w:rsidRPr="000E2171">
        <w:rPr>
          <w:rFonts w:ascii="Bookman Old Style" w:hAnsi="Bookman Old Style"/>
          <w:bCs/>
          <w:sz w:val="22"/>
          <w:szCs w:val="22"/>
          <w:lang w:val="id-ID"/>
        </w:rPr>
        <w:t xml:space="preserve">meningkat 5,18 persen </w:t>
      </w:r>
      <w:r w:rsidRPr="007F541B">
        <w:rPr>
          <w:rFonts w:ascii="Bookman Old Style" w:hAnsi="Bookman Old Style"/>
          <w:bCs/>
          <w:sz w:val="22"/>
          <w:szCs w:val="22"/>
          <w:lang w:val="id-ID"/>
        </w:rPr>
        <w:t>dibandingkan posisi Mei 2025 yang tercatat sebanyak 15,07 juta konsumen)</w:t>
      </w:r>
      <w:r w:rsidRPr="000E2171">
        <w:rPr>
          <w:rFonts w:ascii="Bookman Old Style" w:hAnsi="Bookman Old Style"/>
          <w:bCs/>
          <w:sz w:val="22"/>
          <w:szCs w:val="22"/>
          <w:lang w:val="id-ID"/>
        </w:rPr>
        <w:t>. N</w:t>
      </w:r>
      <w:r w:rsidRPr="007F541B">
        <w:rPr>
          <w:rFonts w:ascii="Bookman Old Style" w:hAnsi="Bookman Old Style"/>
          <w:bCs/>
          <w:sz w:val="22"/>
          <w:szCs w:val="22"/>
          <w:lang w:val="id-ID"/>
        </w:rPr>
        <w:t>ilai transaksi aset kripto selama bulan Juni 2025 tercatat sebesar Rp32,31 triliun</w:t>
      </w:r>
      <w:r w:rsidRPr="000E2171">
        <w:rPr>
          <w:rFonts w:ascii="Bookman Old Style" w:hAnsi="Bookman Old Style"/>
          <w:bCs/>
          <w:sz w:val="22"/>
          <w:szCs w:val="22"/>
          <w:lang w:val="id-ID"/>
        </w:rPr>
        <w:t xml:space="preserve"> </w:t>
      </w:r>
      <w:r w:rsidRPr="007F541B">
        <w:rPr>
          <w:rFonts w:ascii="Bookman Old Style" w:hAnsi="Bookman Old Style"/>
          <w:bCs/>
          <w:sz w:val="22"/>
          <w:szCs w:val="22"/>
          <w:lang w:val="id-ID"/>
        </w:rPr>
        <w:t>(</w:t>
      </w:r>
      <w:r w:rsidRPr="000E2171">
        <w:rPr>
          <w:rFonts w:ascii="Bookman Old Style" w:hAnsi="Bookman Old Style"/>
          <w:bCs/>
          <w:sz w:val="22"/>
          <w:szCs w:val="22"/>
          <w:lang w:val="id-ID"/>
        </w:rPr>
        <w:t xml:space="preserve">menurun 34,82 persen </w:t>
      </w:r>
      <w:r w:rsidRPr="007F541B">
        <w:rPr>
          <w:rFonts w:ascii="Bookman Old Style" w:hAnsi="Bookman Old Style"/>
          <w:bCs/>
          <w:sz w:val="22"/>
          <w:szCs w:val="22"/>
          <w:lang w:val="id-ID"/>
        </w:rPr>
        <w:t xml:space="preserve">dibandingkan Mei 2025 yang tercatat sebesar </w:t>
      </w:r>
      <w:r w:rsidRPr="000E2171">
        <w:rPr>
          <w:rFonts w:ascii="Bookman Old Style" w:hAnsi="Bookman Old Style"/>
          <w:bCs/>
          <w:sz w:val="22"/>
          <w:szCs w:val="22"/>
          <w:lang w:val="id-ID"/>
        </w:rPr>
        <w:t>Rp49,57 triliun</w:t>
      </w:r>
      <w:r w:rsidRPr="007F541B">
        <w:rPr>
          <w:rFonts w:ascii="Bookman Old Style" w:hAnsi="Bookman Old Style"/>
          <w:bCs/>
          <w:sz w:val="22"/>
          <w:szCs w:val="22"/>
          <w:lang w:val="id-ID"/>
        </w:rPr>
        <w:t xml:space="preserve">), </w:t>
      </w:r>
      <w:r w:rsidRPr="000E2171">
        <w:rPr>
          <w:rFonts w:ascii="Bookman Old Style" w:hAnsi="Bookman Old Style"/>
          <w:bCs/>
          <w:sz w:val="22"/>
          <w:szCs w:val="22"/>
          <w:lang w:val="id-ID"/>
        </w:rPr>
        <w:t xml:space="preserve">sehingga total nilai transaksi aset kripto di sepanjang tahun 2025 </w:t>
      </w:r>
      <w:r w:rsidRPr="000E2171">
        <w:rPr>
          <w:rFonts w:ascii="Bookman Old Style" w:hAnsi="Bookman Old Style"/>
          <w:bCs/>
          <w:i/>
          <w:iCs/>
          <w:sz w:val="22"/>
          <w:szCs w:val="22"/>
          <w:lang w:val="id-ID"/>
        </w:rPr>
        <w:t>(year-to-date)</w:t>
      </w:r>
      <w:r w:rsidRPr="000E2171">
        <w:rPr>
          <w:rFonts w:ascii="Bookman Old Style" w:hAnsi="Bookman Old Style"/>
          <w:bCs/>
          <w:sz w:val="22"/>
          <w:szCs w:val="22"/>
          <w:lang w:val="id-ID"/>
        </w:rPr>
        <w:t xml:space="preserve"> telah tercatat senilai Rp224,11 triliun, yang</w:t>
      </w:r>
      <w:r w:rsidRPr="007F541B">
        <w:rPr>
          <w:rFonts w:ascii="Bookman Old Style" w:hAnsi="Bookman Old Style"/>
          <w:bCs/>
          <w:sz w:val="22"/>
          <w:szCs w:val="22"/>
          <w:lang w:val="id-ID"/>
        </w:rPr>
        <w:t xml:space="preserve"> menunjukkan kepercayaan konsumen dan kondisi pasar yang tetap terjaga baik. </w:t>
      </w:r>
    </w:p>
    <w:p w14:paraId="2B5112A9" w14:textId="77777777" w:rsidR="002778BB" w:rsidRDefault="002778BB" w:rsidP="00285F67">
      <w:pPr>
        <w:spacing w:line="259" w:lineRule="auto"/>
        <w:rPr>
          <w:rFonts w:ascii="Bookman Old Style" w:hAnsi="Bookman Old Style"/>
          <w:b/>
          <w:sz w:val="22"/>
          <w:szCs w:val="22"/>
          <w:lang w:val="id-ID"/>
        </w:rPr>
      </w:pPr>
    </w:p>
    <w:p w14:paraId="02A7C399" w14:textId="77777777" w:rsidR="002778BB" w:rsidRDefault="002778BB" w:rsidP="00285F67">
      <w:pPr>
        <w:spacing w:line="259" w:lineRule="auto"/>
        <w:rPr>
          <w:rFonts w:ascii="Bookman Old Style" w:hAnsi="Bookman Old Style"/>
          <w:b/>
          <w:sz w:val="22"/>
          <w:szCs w:val="22"/>
          <w:lang w:val="id-ID"/>
        </w:rPr>
      </w:pPr>
    </w:p>
    <w:p w14:paraId="65817626" w14:textId="5444772F" w:rsidR="00DB5475" w:rsidRPr="007F541B" w:rsidRDefault="00DB5475" w:rsidP="00285F67">
      <w:pPr>
        <w:spacing w:line="259" w:lineRule="auto"/>
        <w:rPr>
          <w:rFonts w:ascii="Bookman Old Style" w:hAnsi="Bookman Old Style"/>
          <w:sz w:val="22"/>
          <w:szCs w:val="22"/>
          <w:lang w:val="id-ID"/>
        </w:rPr>
      </w:pPr>
      <w:r w:rsidRPr="007F541B">
        <w:rPr>
          <w:rFonts w:ascii="Bookman Old Style" w:hAnsi="Bookman Old Style"/>
          <w:b/>
          <w:sz w:val="22"/>
          <w:szCs w:val="22"/>
          <w:lang w:val="id-ID"/>
        </w:rPr>
        <w:lastRenderedPageBreak/>
        <w:t>Perkembangan Pengawasan Perilaku Pelaku Usaha Jasa Keuangan, Edukasi, dan Pelindungan Konsumen (PEPK) </w:t>
      </w:r>
      <w:r w:rsidRPr="007F541B">
        <w:rPr>
          <w:rFonts w:ascii="Bookman Old Style" w:hAnsi="Bookman Old Style"/>
          <w:sz w:val="22"/>
          <w:szCs w:val="22"/>
          <w:lang w:val="id-ID"/>
        </w:rPr>
        <w:t> </w:t>
      </w:r>
    </w:p>
    <w:p w14:paraId="329E8DD6" w14:textId="4C551B52" w:rsidR="00DB5475" w:rsidRPr="007F541B" w:rsidRDefault="00E51027" w:rsidP="00DB5475">
      <w:pPr>
        <w:spacing w:after="120" w:line="264" w:lineRule="auto"/>
        <w:ind w:right="366"/>
        <w:rPr>
          <w:rFonts w:ascii="Bookman Old Style" w:hAnsi="Bookman Old Style"/>
          <w:highlight w:val="yellow"/>
          <w:lang w:val="id-ID"/>
        </w:rPr>
      </w:pPr>
      <w:r>
        <w:rPr>
          <w:noProof/>
        </w:rPr>
        <w:drawing>
          <wp:inline distT="0" distB="0" distL="0" distR="0" wp14:anchorId="65F79079" wp14:editId="6BD34990">
            <wp:extent cx="5730569" cy="1900362"/>
            <wp:effectExtent l="0" t="0" r="3810" b="5080"/>
            <wp:docPr id="769608095"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608095" name="Picture 1" descr="A screenshot of a document&#10;&#10;Description automatically generated"/>
                    <pic:cNvPicPr>
                      <a:picLocks noChangeAspect="1"/>
                    </pic:cNvPicPr>
                  </pic:nvPicPr>
                  <pic:blipFill>
                    <a:blip r:embed="rId15"/>
                    <a:stretch>
                      <a:fillRect/>
                    </a:stretch>
                  </pic:blipFill>
                  <pic:spPr>
                    <a:xfrm>
                      <a:off x="0" y="0"/>
                      <a:ext cx="5745433" cy="1905291"/>
                    </a:xfrm>
                    <a:prstGeom prst="rect">
                      <a:avLst/>
                    </a:prstGeom>
                  </pic:spPr>
                </pic:pic>
              </a:graphicData>
            </a:graphic>
          </wp:inline>
        </w:drawing>
      </w:r>
    </w:p>
    <w:p w14:paraId="14FCA18D" w14:textId="77777777" w:rsidR="00381501" w:rsidRPr="007F541B" w:rsidRDefault="00381501" w:rsidP="00381501">
      <w:pPr>
        <w:spacing w:after="60" w:line="276" w:lineRule="auto"/>
        <w:jc w:val="both"/>
        <w:rPr>
          <w:rFonts w:ascii="Bookman Old Style" w:eastAsia="Bookman Old Style" w:hAnsi="Bookman Old Style" w:cs="Bookman Old Style"/>
          <w:sz w:val="22"/>
          <w:szCs w:val="22"/>
          <w:lang w:val="id-ID"/>
        </w:rPr>
      </w:pPr>
      <w:r w:rsidRPr="007F541B">
        <w:rPr>
          <w:rFonts w:ascii="Bookman Old Style" w:eastAsia="Bookman Old Style" w:hAnsi="Bookman Old Style" w:cs="Bookman Old Style"/>
          <w:sz w:val="22"/>
          <w:szCs w:val="22"/>
          <w:lang w:val="id-ID"/>
        </w:rPr>
        <w:t xml:space="preserve">Sejak 1 Januari 2025 hingga 25 Juli 2025, OJK telah menyelenggarakan 3.212 kegiatan edukasi keuangan yang menjangkau 6.359.861 peserta di seluruh Indonesia. </w:t>
      </w:r>
      <w:r w:rsidRPr="007F541B">
        <w:rPr>
          <w:rFonts w:ascii="Bookman Old Style" w:eastAsia="Bookman Old Style" w:hAnsi="Bookman Old Style" w:cs="Bookman Old Style"/>
          <w:i/>
          <w:iCs/>
          <w:sz w:val="22"/>
          <w:szCs w:val="22"/>
          <w:lang w:val="id-ID"/>
        </w:rPr>
        <w:t xml:space="preserve">Platform </w:t>
      </w:r>
      <w:r w:rsidRPr="007F541B">
        <w:rPr>
          <w:rFonts w:ascii="Bookman Old Style" w:eastAsia="Bookman Old Style" w:hAnsi="Bookman Old Style" w:cs="Bookman Old Style"/>
          <w:sz w:val="22"/>
          <w:szCs w:val="22"/>
          <w:lang w:val="id-ID"/>
        </w:rPr>
        <w:t xml:space="preserve">digital Sikapi Uangmu, yang berfungsi sebagai saluran komunikasi khusus untuk konten edukasi keuangan kepada masyarakat melalui </w:t>
      </w:r>
      <w:r w:rsidRPr="007F541B">
        <w:rPr>
          <w:rFonts w:ascii="Bookman Old Style" w:eastAsia="Bookman Old Style" w:hAnsi="Bookman Old Style" w:cs="Bookman Old Style"/>
          <w:i/>
          <w:iCs/>
          <w:sz w:val="22"/>
          <w:szCs w:val="22"/>
          <w:lang w:val="id-ID"/>
        </w:rPr>
        <w:t xml:space="preserve">minisite </w:t>
      </w:r>
      <w:r w:rsidRPr="007F541B">
        <w:rPr>
          <w:rFonts w:ascii="Bookman Old Style" w:eastAsia="Bookman Old Style" w:hAnsi="Bookman Old Style" w:cs="Bookman Old Style"/>
          <w:sz w:val="22"/>
          <w:szCs w:val="22"/>
          <w:lang w:val="id-ID"/>
        </w:rPr>
        <w:t xml:space="preserve">dan aplikasi, telah menerbitkan 191 konten edukasi, dengan total 1.239.309 </w:t>
      </w:r>
      <w:r w:rsidRPr="007F541B">
        <w:rPr>
          <w:rFonts w:ascii="Bookman Old Style" w:eastAsia="Bookman Old Style" w:hAnsi="Bookman Old Style" w:cs="Bookman Old Style"/>
          <w:i/>
          <w:iCs/>
          <w:sz w:val="22"/>
          <w:szCs w:val="22"/>
          <w:lang w:val="id-ID"/>
        </w:rPr>
        <w:t>viewers</w:t>
      </w:r>
      <w:r w:rsidRPr="007F541B">
        <w:rPr>
          <w:rFonts w:ascii="Bookman Old Style" w:eastAsia="Bookman Old Style" w:hAnsi="Bookman Old Style" w:cs="Bookman Old Style"/>
          <w:sz w:val="22"/>
          <w:szCs w:val="22"/>
          <w:lang w:val="id-ID"/>
        </w:rPr>
        <w:t>. Selain itu, terdapat 1</w:t>
      </w:r>
      <w:r w:rsidRPr="007F541B">
        <w:rPr>
          <w:rFonts w:ascii="Bookman Old Style" w:eastAsia="Bookman Old Style" w:hAnsi="Bookman Old Style" w:cs="Bookman Old Style"/>
          <w:sz w:val="22"/>
          <w:szCs w:val="22"/>
          <w:lang w:val="en-US"/>
        </w:rPr>
        <w:t>7</w:t>
      </w:r>
      <w:r w:rsidRPr="007F541B">
        <w:rPr>
          <w:rFonts w:ascii="Bookman Old Style" w:eastAsia="Bookman Old Style" w:hAnsi="Bookman Old Style" w:cs="Bookman Old Style"/>
          <w:sz w:val="22"/>
          <w:szCs w:val="22"/>
          <w:lang w:val="id-ID"/>
        </w:rPr>
        <w:t>.</w:t>
      </w:r>
      <w:r w:rsidRPr="007F541B">
        <w:rPr>
          <w:rFonts w:ascii="Bookman Old Style" w:eastAsia="Bookman Old Style" w:hAnsi="Bookman Old Style" w:cs="Bookman Old Style"/>
          <w:sz w:val="22"/>
          <w:szCs w:val="22"/>
          <w:lang w:val="en-US"/>
        </w:rPr>
        <w:t>028</w:t>
      </w:r>
      <w:r w:rsidRPr="007F541B">
        <w:rPr>
          <w:rFonts w:ascii="Bookman Old Style" w:eastAsia="Bookman Old Style" w:hAnsi="Bookman Old Style" w:cs="Bookman Old Style"/>
          <w:sz w:val="22"/>
          <w:szCs w:val="22"/>
          <w:lang w:val="id-ID"/>
        </w:rPr>
        <w:t xml:space="preserve"> pengguna </w:t>
      </w:r>
      <w:r w:rsidRPr="007F541B">
        <w:rPr>
          <w:rFonts w:ascii="Bookman Old Style" w:eastAsia="Bookman Old Style" w:hAnsi="Bookman Old Style" w:cs="Bookman Old Style"/>
          <w:i/>
          <w:iCs/>
          <w:sz w:val="22"/>
          <w:szCs w:val="22"/>
          <w:lang w:val="id-ID"/>
        </w:rPr>
        <w:t xml:space="preserve">Learning Management System </w:t>
      </w:r>
      <w:r w:rsidRPr="007F541B">
        <w:rPr>
          <w:rFonts w:ascii="Bookman Old Style" w:eastAsia="Bookman Old Style" w:hAnsi="Bookman Old Style" w:cs="Bookman Old Style"/>
          <w:sz w:val="22"/>
          <w:szCs w:val="22"/>
          <w:lang w:val="id-ID"/>
        </w:rPr>
        <w:t xml:space="preserve">Edukasi Keuangan (LMSKU), dengan total akses modul sebanyak </w:t>
      </w:r>
      <w:r w:rsidRPr="007F541B">
        <w:rPr>
          <w:rFonts w:ascii="Bookman Old Style" w:eastAsia="Bookman Old Style" w:hAnsi="Bookman Old Style" w:cs="Bookman Old Style"/>
          <w:sz w:val="22"/>
          <w:szCs w:val="22"/>
          <w:lang w:val="en-US"/>
        </w:rPr>
        <w:t>7.617</w:t>
      </w:r>
      <w:r w:rsidRPr="007F541B">
        <w:rPr>
          <w:rFonts w:ascii="Bookman Old Style" w:eastAsia="Bookman Old Style" w:hAnsi="Bookman Old Style" w:cs="Bookman Old Style"/>
          <w:sz w:val="22"/>
          <w:szCs w:val="22"/>
          <w:lang w:val="id-ID"/>
        </w:rPr>
        <w:t xml:space="preserve"> kali dan penerbitan </w:t>
      </w:r>
      <w:r w:rsidRPr="007F541B">
        <w:rPr>
          <w:rFonts w:ascii="Bookman Old Style" w:eastAsia="Bookman Old Style" w:hAnsi="Bookman Old Style" w:cs="Bookman Old Style"/>
          <w:sz w:val="22"/>
          <w:szCs w:val="22"/>
          <w:lang w:val="en-US"/>
        </w:rPr>
        <w:t>3.771</w:t>
      </w:r>
      <w:r w:rsidRPr="007F541B">
        <w:rPr>
          <w:rFonts w:ascii="Bookman Old Style" w:eastAsia="Bookman Old Style" w:hAnsi="Bookman Old Style" w:cs="Bookman Old Style"/>
          <w:sz w:val="22"/>
          <w:szCs w:val="22"/>
          <w:lang w:val="id-ID"/>
        </w:rPr>
        <w:t xml:space="preserve"> sertifikat kelulusan modul.</w:t>
      </w:r>
    </w:p>
    <w:p w14:paraId="3ACE5838" w14:textId="77777777" w:rsidR="00381501" w:rsidRPr="007F541B" w:rsidRDefault="00381501" w:rsidP="00381501">
      <w:pPr>
        <w:spacing w:after="60" w:line="276" w:lineRule="auto"/>
        <w:jc w:val="both"/>
        <w:rPr>
          <w:rFonts w:ascii="Bookman Old Style" w:eastAsia="Bookman Old Style" w:hAnsi="Bookman Old Style" w:cs="Bookman Old Style"/>
          <w:sz w:val="22"/>
          <w:szCs w:val="22"/>
          <w:lang w:val="id-ID"/>
        </w:rPr>
      </w:pPr>
      <w:r w:rsidRPr="007F541B">
        <w:rPr>
          <w:rFonts w:ascii="Bookman Old Style" w:eastAsia="Bookman Old Style" w:hAnsi="Bookman Old Style" w:cs="Bookman Old Style"/>
          <w:sz w:val="22"/>
          <w:szCs w:val="22"/>
          <w:lang w:val="id-ID"/>
        </w:rPr>
        <w:t>Upaya peningkatan literasi keuangan tersebut didukung oleh penguatan program inklusi keuangan melalui kolaborasi dalam Tim Percepatan Akses Keuangan Daerah (TPAKD) di seluruh provinsi (38 Provinsi) dan Kabupaten/Kota (514 Kabupaten/Kota) di Indonesia.</w:t>
      </w:r>
    </w:p>
    <w:p w14:paraId="1DC885C3" w14:textId="1FC367B0" w:rsidR="00DB5475" w:rsidRPr="007F541B" w:rsidRDefault="00DB5475" w:rsidP="00DB5475">
      <w:pPr>
        <w:spacing w:after="60" w:line="276" w:lineRule="auto"/>
        <w:jc w:val="both"/>
        <w:rPr>
          <w:rFonts w:ascii="Bookman Old Style" w:hAnsi="Bookman Old Style"/>
          <w:sz w:val="22"/>
          <w:szCs w:val="22"/>
          <w:lang w:val="id-ID"/>
        </w:rPr>
      </w:pPr>
      <w:r w:rsidRPr="007F541B">
        <w:rPr>
          <w:rFonts w:ascii="Bookman Old Style" w:hAnsi="Bookman Old Style"/>
          <w:sz w:val="22"/>
          <w:szCs w:val="22"/>
          <w:lang w:val="id-ID"/>
        </w:rPr>
        <w:t>Selanjutnya, dalam rangka pelaksanaan kegiatan literasi dan inklusi keuangan, selama Ju</w:t>
      </w:r>
      <w:r w:rsidR="00916FDC" w:rsidRPr="007F541B">
        <w:rPr>
          <w:rFonts w:ascii="Bookman Old Style" w:hAnsi="Bookman Old Style"/>
          <w:sz w:val="22"/>
          <w:szCs w:val="22"/>
          <w:lang w:val="id-ID"/>
        </w:rPr>
        <w:t>l</w:t>
      </w:r>
      <w:r w:rsidRPr="007F541B">
        <w:rPr>
          <w:rFonts w:ascii="Bookman Old Style" w:hAnsi="Bookman Old Style"/>
          <w:sz w:val="22"/>
          <w:szCs w:val="22"/>
          <w:lang w:val="id-ID"/>
        </w:rPr>
        <w:t>i 2025, beberapa bentuk inisiatif OJK antara lain:</w:t>
      </w:r>
    </w:p>
    <w:p w14:paraId="29BF0C2E" w14:textId="77777777" w:rsidR="00885FB8" w:rsidRPr="007F541B" w:rsidRDefault="00885FB8" w:rsidP="00500FA3">
      <w:pPr>
        <w:pStyle w:val="BodyText"/>
        <w:numPr>
          <w:ilvl w:val="0"/>
          <w:numId w:val="12"/>
        </w:numPr>
        <w:tabs>
          <w:tab w:val="clear" w:pos="720"/>
        </w:tabs>
        <w:spacing w:after="60" w:line="264" w:lineRule="auto"/>
        <w:ind w:left="426" w:right="4" w:hanging="357"/>
        <w:rPr>
          <w:rFonts w:ascii="Bookman Old Style" w:hAnsi="Bookman Old Style"/>
          <w:lang w:val="id-ID"/>
        </w:rPr>
      </w:pPr>
      <w:r w:rsidRPr="007F541B">
        <w:rPr>
          <w:rFonts w:ascii="Bookman Old Style" w:eastAsia="Bookman Old Style" w:hAnsi="Bookman Old Style" w:cs="Bookman Old Style"/>
          <w:lang w:val="id-ID"/>
        </w:rPr>
        <w:t>Pada periode Januari sampai dengan 25 Juli 2025 telah diselenggarakan implementasi GENCARKAN melalui penyelenggaraan 23.944 program yang telah menjangkau 144</w:t>
      </w:r>
      <w:r w:rsidRPr="000E2171">
        <w:rPr>
          <w:rFonts w:ascii="Bookman Old Style" w:eastAsia="Bookman Old Style" w:hAnsi="Bookman Old Style" w:cs="Bookman Old Style"/>
          <w:lang w:val="id-ID"/>
        </w:rPr>
        <w:t>,5 juta</w:t>
      </w:r>
      <w:r w:rsidRPr="007F541B">
        <w:rPr>
          <w:rFonts w:ascii="Bookman Old Style" w:eastAsia="Bookman Old Style" w:hAnsi="Bookman Old Style" w:cs="Bookman Old Style"/>
          <w:lang w:val="id-ID"/>
        </w:rPr>
        <w:t xml:space="preserve"> peserta </w:t>
      </w:r>
      <w:r w:rsidRPr="000E2171">
        <w:rPr>
          <w:rFonts w:ascii="Bookman Old Style" w:eastAsia="Bookman Old Style" w:hAnsi="Bookman Old Style" w:cs="Bookman Old Style"/>
          <w:lang w:val="id-ID"/>
        </w:rPr>
        <w:t>di seluruh Indonesia</w:t>
      </w:r>
      <w:r w:rsidRPr="007F541B">
        <w:rPr>
          <w:rFonts w:ascii="Bookman Old Style" w:eastAsia="Bookman Old Style" w:hAnsi="Bookman Old Style" w:cs="Bookman Old Style"/>
          <w:lang w:val="id-ID"/>
        </w:rPr>
        <w:t xml:space="preserve">. Kegiatan tersebut terdiri atas Edukasi Keuangan secara langsung sebanyak 14.105 kegiatan yang menjangkau 4,1 juta peserta serta Edukasi Keuangan Digital sebanyak 9.839 konten yang menjangkau 140,4 juta </w:t>
      </w:r>
      <w:r w:rsidRPr="007F541B">
        <w:rPr>
          <w:rFonts w:ascii="Bookman Old Style" w:eastAsia="Bookman Old Style" w:hAnsi="Bookman Old Style" w:cs="Bookman Old Style"/>
          <w:i/>
          <w:iCs/>
          <w:lang w:val="id-ID"/>
        </w:rPr>
        <w:t>viewers</w:t>
      </w:r>
      <w:r w:rsidRPr="007F541B">
        <w:rPr>
          <w:rFonts w:ascii="Bookman Old Style" w:eastAsia="Bookman Old Style" w:hAnsi="Bookman Old Style" w:cs="Bookman Old Style"/>
          <w:lang w:val="id-ID"/>
        </w:rPr>
        <w:t>.</w:t>
      </w:r>
    </w:p>
    <w:p w14:paraId="07B7E40E" w14:textId="7E8A8333" w:rsidR="00E6762B" w:rsidRPr="007F541B" w:rsidRDefault="008701C4" w:rsidP="00D6168E">
      <w:pPr>
        <w:pStyle w:val="BodyText"/>
        <w:numPr>
          <w:ilvl w:val="0"/>
          <w:numId w:val="12"/>
        </w:numPr>
        <w:tabs>
          <w:tab w:val="clear" w:pos="720"/>
        </w:tabs>
        <w:spacing w:after="60" w:line="264" w:lineRule="auto"/>
        <w:ind w:left="426" w:right="4" w:hanging="357"/>
        <w:rPr>
          <w:rFonts w:ascii="Bookman Old Style" w:hAnsi="Bookman Old Style"/>
          <w:lang w:val="id-ID"/>
        </w:rPr>
      </w:pPr>
      <w:r w:rsidRPr="007F541B">
        <w:rPr>
          <w:rFonts w:ascii="Bookman Old Style" w:hAnsi="Bookman Old Style"/>
          <w:lang w:val="id-ID"/>
        </w:rPr>
        <w:t xml:space="preserve">Penyelenggaraan </w:t>
      </w:r>
      <w:r w:rsidRPr="007F541B">
        <w:rPr>
          <w:rFonts w:ascii="Bookman Old Style" w:hAnsi="Bookman Old Style"/>
          <w:i/>
          <w:iCs/>
          <w:lang w:val="id-ID"/>
        </w:rPr>
        <w:t>Training of Trainers</w:t>
      </w:r>
      <w:r w:rsidRPr="007F541B">
        <w:rPr>
          <w:rFonts w:ascii="Bookman Old Style" w:hAnsi="Bookman Old Style"/>
          <w:lang w:val="id-ID"/>
        </w:rPr>
        <w:t xml:space="preserve"> (ToT) Program OJK Penggerak Duta Literasi Keuangan Indonesia (OJK PEDULI) bagi Anggota Kongres Wanita Indonesia (KOWANI) pada </w:t>
      </w:r>
      <w:r w:rsidR="00EA1C5B">
        <w:rPr>
          <w:rFonts w:ascii="Bookman Old Style" w:hAnsi="Bookman Old Style"/>
          <w:lang w:val="id-ID"/>
        </w:rPr>
        <w:t xml:space="preserve">tanggal </w:t>
      </w:r>
      <w:r w:rsidRPr="007F541B">
        <w:rPr>
          <w:rFonts w:ascii="Bookman Old Style" w:hAnsi="Bookman Old Style"/>
          <w:lang w:val="id-ID"/>
        </w:rPr>
        <w:t xml:space="preserve">2 Juli 2025 secara </w:t>
      </w:r>
      <w:r w:rsidRPr="00D6168E">
        <w:rPr>
          <w:rFonts w:ascii="Bookman Old Style" w:hAnsi="Bookman Old Style"/>
          <w:i/>
          <w:iCs/>
          <w:lang w:val="id-ID"/>
        </w:rPr>
        <w:t>hybrid</w:t>
      </w:r>
      <w:r w:rsidRPr="007F541B">
        <w:rPr>
          <w:rFonts w:ascii="Bookman Old Style" w:hAnsi="Bookman Old Style"/>
          <w:lang w:val="id-ID"/>
        </w:rPr>
        <w:t xml:space="preserve"> yang diikuti oleh 279 anggota KOWANI</w:t>
      </w:r>
      <w:r w:rsidR="00DB5475" w:rsidRPr="007F541B">
        <w:rPr>
          <w:rFonts w:ascii="Bookman Old Style" w:hAnsi="Bookman Old Style"/>
          <w:lang w:val="id-ID"/>
        </w:rPr>
        <w:t>.</w:t>
      </w:r>
    </w:p>
    <w:p w14:paraId="4CDF36CB" w14:textId="77777777" w:rsidR="00E6762B" w:rsidRPr="007F541B" w:rsidRDefault="00E6762B" w:rsidP="00500FA3">
      <w:pPr>
        <w:pStyle w:val="BodyText"/>
        <w:numPr>
          <w:ilvl w:val="0"/>
          <w:numId w:val="12"/>
        </w:numPr>
        <w:tabs>
          <w:tab w:val="clear" w:pos="720"/>
        </w:tabs>
        <w:spacing w:after="60" w:line="264" w:lineRule="auto"/>
        <w:ind w:left="426" w:hanging="357"/>
        <w:rPr>
          <w:rFonts w:ascii="Bookman Old Style" w:hAnsi="Bookman Old Style"/>
          <w:lang w:val="id-ID"/>
        </w:rPr>
      </w:pPr>
      <w:r w:rsidRPr="007F541B">
        <w:rPr>
          <w:rFonts w:ascii="Bookman Old Style" w:hAnsi="Bookman Old Style"/>
          <w:lang w:val="id-ID"/>
        </w:rPr>
        <w:t xml:space="preserve">Kegiatan Diseminasi Pedoman Akses Pelayanan Keuangan untuk Disabilitas Berdaya (Pedoman SETARA) dan Pelatihan Sensitivitas Layanan bagi Pelaku Usaha Sektor Keuangan (PUSK) yang dilaksanakan secara tatap muka di Kantor OJK Provinsi Sumatera Selatan. Kegiatan ini dihadiri oleh perwakilan dari 28 PUSK di daerah Sumatera Selatan, organisasi penyandang disabilitas (OPDis), dan Prospera sebagai mitra penyelenggara acara. </w:t>
      </w:r>
    </w:p>
    <w:p w14:paraId="109B9AA9" w14:textId="77777777" w:rsidR="00330EEC" w:rsidRPr="007F541B" w:rsidRDefault="00DB5475" w:rsidP="008C508C">
      <w:pPr>
        <w:pStyle w:val="BodyText"/>
        <w:numPr>
          <w:ilvl w:val="0"/>
          <w:numId w:val="12"/>
        </w:numPr>
        <w:tabs>
          <w:tab w:val="clear" w:pos="720"/>
        </w:tabs>
        <w:spacing w:line="264" w:lineRule="auto"/>
        <w:ind w:left="425" w:hanging="357"/>
        <w:rPr>
          <w:rFonts w:ascii="Bookman Old Style" w:hAnsi="Bookman Old Style"/>
          <w:lang w:val="id-ID"/>
        </w:rPr>
      </w:pPr>
      <w:r w:rsidRPr="007F541B">
        <w:rPr>
          <w:rFonts w:ascii="Bookman Old Style" w:hAnsi="Bookman Old Style"/>
          <w:lang w:val="id-ID"/>
        </w:rPr>
        <w:t>Dalam rangka penguatan dan optimalisasi TPAKD, OJK telah melaksanakan</w:t>
      </w:r>
      <w:r w:rsidR="00330EEC" w:rsidRPr="007F541B">
        <w:rPr>
          <w:rFonts w:ascii="Bookman Old Style" w:hAnsi="Bookman Old Style"/>
          <w:lang w:val="id-ID"/>
        </w:rPr>
        <w:t>:</w:t>
      </w:r>
    </w:p>
    <w:p w14:paraId="4D4C8524" w14:textId="673BC136" w:rsidR="004F63D2" w:rsidRPr="007F541B" w:rsidRDefault="004F63D2" w:rsidP="00D6168E">
      <w:pPr>
        <w:pStyle w:val="BodyText"/>
        <w:numPr>
          <w:ilvl w:val="1"/>
          <w:numId w:val="2"/>
        </w:numPr>
        <w:spacing w:line="264" w:lineRule="auto"/>
        <w:ind w:left="850" w:hanging="357"/>
        <w:rPr>
          <w:rFonts w:ascii="Bookman Old Style" w:hAnsi="Bookman Old Style"/>
          <w:lang w:val="id-ID"/>
        </w:rPr>
      </w:pPr>
      <w:r w:rsidRPr="007F541B">
        <w:rPr>
          <w:rFonts w:ascii="Bookman Old Style" w:hAnsi="Bookman Old Style"/>
          <w:lang w:val="id-ID"/>
        </w:rPr>
        <w:t>Kegiatan Sosialisasi Indikator Inklusi Keuangan (IUP Nomor 34) Level Kab</w:t>
      </w:r>
      <w:r w:rsidR="00D118DB">
        <w:rPr>
          <w:rFonts w:ascii="Bookman Old Style" w:hAnsi="Bookman Old Style"/>
          <w:lang w:val="id-ID"/>
        </w:rPr>
        <w:t>upaten</w:t>
      </w:r>
      <w:r w:rsidRPr="007F541B">
        <w:rPr>
          <w:rFonts w:ascii="Bookman Old Style" w:hAnsi="Bookman Old Style"/>
          <w:lang w:val="id-ID"/>
        </w:rPr>
        <w:t xml:space="preserve">/Kota dalam Dokumen RPJMD 2025-2029 pada tanggal 30 Juni </w:t>
      </w:r>
      <w:r w:rsidR="00C947FD">
        <w:rPr>
          <w:rFonts w:ascii="Bookman Old Style" w:hAnsi="Bookman Old Style"/>
          <w:lang w:val="id-ID"/>
        </w:rPr>
        <w:t xml:space="preserve">sampai dengan </w:t>
      </w:r>
      <w:r w:rsidRPr="007F541B">
        <w:rPr>
          <w:rFonts w:ascii="Bookman Old Style" w:hAnsi="Bookman Old Style"/>
          <w:lang w:val="id-ID"/>
        </w:rPr>
        <w:t xml:space="preserve">2 Juli 2025 yang dihadiri oleh seluruh pimpinan Bappeda </w:t>
      </w:r>
      <w:r w:rsidRPr="007F541B">
        <w:rPr>
          <w:rFonts w:ascii="Bookman Old Style" w:hAnsi="Bookman Old Style"/>
          <w:lang w:val="id-ID"/>
        </w:rPr>
        <w:lastRenderedPageBreak/>
        <w:t xml:space="preserve">dan TPAKD se-Indonesia. Dalam </w:t>
      </w:r>
      <w:r w:rsidR="00A35F41">
        <w:rPr>
          <w:rFonts w:ascii="Bookman Old Style" w:hAnsi="Bookman Old Style"/>
          <w:lang w:val="id-ID"/>
        </w:rPr>
        <w:t>kegiatan dimaksud</w:t>
      </w:r>
      <w:r w:rsidRPr="007F541B">
        <w:rPr>
          <w:rFonts w:ascii="Bookman Old Style" w:hAnsi="Bookman Old Style"/>
          <w:lang w:val="id-ID"/>
        </w:rPr>
        <w:t xml:space="preserve"> disosialisasikan bahwa Inklusi Keuangan merupakan salah satu dari 45 Indikator Utama Pembangunan (IUP) dalam RPJPN 2025-2045, yang wajib diturunkan menjadi Indikator Kinerja Daerah (IKD) dalam rencana pembangunan Pemerintah Daerah di tingkat kabupaten/kota. Adapun IKD di tingkat kabupaten/kota, diukur menggunakan indikator Indeks Akses Keuangan Daerah (IKAD). Selanjutnya, telah dilakukan tindak lanjut sosialisasi di wilayah Provinsi Banten secara virtual pada tanggal</w:t>
      </w:r>
      <w:r w:rsidRPr="007F541B" w:rsidDel="00DB2DC2">
        <w:rPr>
          <w:rFonts w:ascii="Bookman Old Style" w:hAnsi="Bookman Old Style"/>
          <w:lang w:val="id-ID"/>
        </w:rPr>
        <w:t xml:space="preserve"> </w:t>
      </w:r>
      <w:r w:rsidRPr="007F541B">
        <w:rPr>
          <w:rFonts w:ascii="Bookman Old Style" w:hAnsi="Bookman Old Style"/>
          <w:lang w:val="id-ID"/>
        </w:rPr>
        <w:t>8 Juli 2025</w:t>
      </w:r>
      <w:r w:rsidR="00F4322B" w:rsidRPr="007F541B">
        <w:rPr>
          <w:rFonts w:ascii="Bookman Old Style" w:hAnsi="Bookman Old Style"/>
          <w:lang w:val="id-ID"/>
        </w:rPr>
        <w:t>.</w:t>
      </w:r>
    </w:p>
    <w:p w14:paraId="0E0BBD30" w14:textId="7A7018B8" w:rsidR="002403CA" w:rsidRPr="007F541B" w:rsidRDefault="002403CA" w:rsidP="00500FA3">
      <w:pPr>
        <w:pStyle w:val="BodyText"/>
        <w:numPr>
          <w:ilvl w:val="1"/>
          <w:numId w:val="2"/>
        </w:numPr>
        <w:spacing w:after="60" w:line="264" w:lineRule="auto"/>
        <w:ind w:left="851" w:hanging="357"/>
        <w:rPr>
          <w:rFonts w:ascii="Bookman Old Style" w:hAnsi="Bookman Old Style"/>
          <w:lang w:val="id-ID"/>
        </w:rPr>
      </w:pPr>
      <w:r w:rsidRPr="007F541B">
        <w:rPr>
          <w:rFonts w:ascii="Bookman Old Style" w:hAnsi="Bookman Old Style"/>
          <w:lang w:val="id-ID"/>
        </w:rPr>
        <w:t xml:space="preserve">Kegiatan sosialisasi mengenai Arah Strategis TPAKD dalam Rapat Koordinasi Wilayah (Rakorwil) TPAKD Se-Provinsi Sulawesi Utara dan Gorontalo pada 3 Juli 2025 di Manado </w:t>
      </w:r>
      <w:r w:rsidR="00BA4A3D">
        <w:rPr>
          <w:rFonts w:ascii="Bookman Old Style" w:hAnsi="Bookman Old Style"/>
          <w:lang w:val="id-ID"/>
        </w:rPr>
        <w:t>yang</w:t>
      </w:r>
      <w:r w:rsidRPr="007F541B">
        <w:rPr>
          <w:rFonts w:ascii="Bookman Old Style" w:hAnsi="Bookman Old Style"/>
          <w:lang w:val="id-ID"/>
        </w:rPr>
        <w:t xml:space="preserve"> dihadiri oleh Wakil Gubernur Sulawesi Utara dan Wakil Gubernur Gorontalo</w:t>
      </w:r>
      <w:r w:rsidR="00BA4A3D">
        <w:rPr>
          <w:rFonts w:ascii="Bookman Old Style" w:hAnsi="Bookman Old Style"/>
          <w:lang w:val="id-ID"/>
        </w:rPr>
        <w:t>,</w:t>
      </w:r>
      <w:r w:rsidRPr="007F541B">
        <w:rPr>
          <w:rFonts w:ascii="Bookman Old Style" w:hAnsi="Bookman Old Style"/>
          <w:lang w:val="id-ID"/>
        </w:rPr>
        <w:t xml:space="preserve"> serta seluruh TPAKD tingkat provinsi/kabupaten/kota di wilayah Sulawesi Utara dan Gorontalo. Dalam kegiatan dimaksud disampaikan informasi arah strategi pelaksanaan TPAKD tahun 2025 serta penjelasan pelaksanaan program kerja yang sejalan dengan tematik TPAKD tahun 2025, yaitu “Akselerasi Pemanfaatan Produk/Layanan Keuangan Pasar Modal.”</w:t>
      </w:r>
    </w:p>
    <w:p w14:paraId="1C0AFEAA" w14:textId="5ADE1671" w:rsidR="000033F1" w:rsidRPr="007F541B" w:rsidRDefault="000033F1" w:rsidP="00500FA3">
      <w:pPr>
        <w:pStyle w:val="BodyText"/>
        <w:numPr>
          <w:ilvl w:val="0"/>
          <w:numId w:val="12"/>
        </w:numPr>
        <w:tabs>
          <w:tab w:val="clear" w:pos="720"/>
        </w:tabs>
        <w:spacing w:after="60" w:line="264" w:lineRule="auto"/>
        <w:ind w:left="426" w:hanging="357"/>
        <w:rPr>
          <w:rFonts w:ascii="Bookman Old Style" w:hAnsi="Bookman Old Style"/>
          <w:lang w:val="id-ID"/>
        </w:rPr>
      </w:pPr>
      <w:r w:rsidRPr="000E2171">
        <w:rPr>
          <w:rFonts w:ascii="Bookman Old Style" w:hAnsi="Bookman Old Style"/>
          <w:lang w:val="id-ID"/>
        </w:rPr>
        <w:t xml:space="preserve">Dalam rangka mendorong implementasi Program Satu Rekening Satu Pelajar (KEJAR) dan menanamkan budaya menabung sejak dini, OJK melaksanakan </w:t>
      </w:r>
      <w:r w:rsidRPr="000E2171">
        <w:rPr>
          <w:rFonts w:ascii="Bookman Old Style" w:hAnsi="Bookman Old Style"/>
          <w:i/>
          <w:lang w:val="id-ID"/>
        </w:rPr>
        <w:t>Pilot Project</w:t>
      </w:r>
      <w:r w:rsidRPr="000E2171">
        <w:rPr>
          <w:rFonts w:ascii="Bookman Old Style" w:hAnsi="Bookman Old Style"/>
          <w:lang w:val="id-ID"/>
        </w:rPr>
        <w:t xml:space="preserve"> Pembukaan Rekening Pelajar secara masif di Kota Denpasar pada </w:t>
      </w:r>
      <w:r w:rsidR="000711AE" w:rsidRPr="000E2171">
        <w:rPr>
          <w:rFonts w:ascii="Bookman Old Style" w:hAnsi="Bookman Old Style"/>
          <w:lang w:val="id-ID"/>
        </w:rPr>
        <w:t xml:space="preserve">tanggal </w:t>
      </w:r>
      <w:r w:rsidRPr="000E2171">
        <w:rPr>
          <w:rFonts w:ascii="Bookman Old Style" w:hAnsi="Bookman Old Style"/>
          <w:lang w:val="id-ID"/>
        </w:rPr>
        <w:t xml:space="preserve">23 Juli 2025, dan di Provinsi DKI Jakarta pada </w:t>
      </w:r>
      <w:r w:rsidR="000711AE" w:rsidRPr="000E2171">
        <w:rPr>
          <w:rFonts w:ascii="Bookman Old Style" w:hAnsi="Bookman Old Style"/>
          <w:lang w:val="id-ID"/>
        </w:rPr>
        <w:t xml:space="preserve">tanggal </w:t>
      </w:r>
      <w:r w:rsidRPr="000E2171">
        <w:rPr>
          <w:rFonts w:ascii="Bookman Old Style" w:hAnsi="Bookman Old Style"/>
          <w:lang w:val="id-ID"/>
        </w:rPr>
        <w:t xml:space="preserve">24 Juli 2025. </w:t>
      </w:r>
      <w:proofErr w:type="spellStart"/>
      <w:r w:rsidRPr="007F541B">
        <w:rPr>
          <w:rFonts w:ascii="Bookman Old Style" w:hAnsi="Bookman Old Style"/>
        </w:rPr>
        <w:t>Sebanyak</w:t>
      </w:r>
      <w:proofErr w:type="spellEnd"/>
      <w:r w:rsidRPr="007F541B">
        <w:rPr>
          <w:rFonts w:ascii="Bookman Old Style" w:hAnsi="Bookman Old Style"/>
        </w:rPr>
        <w:t xml:space="preserve"> 2.130 </w:t>
      </w:r>
      <w:proofErr w:type="spellStart"/>
      <w:r w:rsidRPr="007F541B">
        <w:rPr>
          <w:rFonts w:ascii="Bookman Old Style" w:hAnsi="Bookman Old Style"/>
        </w:rPr>
        <w:t>sekolah</w:t>
      </w:r>
      <w:proofErr w:type="spellEnd"/>
      <w:r w:rsidRPr="007F541B">
        <w:rPr>
          <w:rFonts w:ascii="Bookman Old Style" w:hAnsi="Bookman Old Style"/>
        </w:rPr>
        <w:t xml:space="preserve"> dan 538.110 siswa/i menjadi target </w:t>
      </w:r>
      <w:r w:rsidRPr="007F541B">
        <w:rPr>
          <w:rFonts w:ascii="Bookman Old Style" w:hAnsi="Bookman Old Style"/>
          <w:i/>
        </w:rPr>
        <w:t>Pilot Project</w:t>
      </w:r>
      <w:r w:rsidRPr="007F541B">
        <w:rPr>
          <w:rFonts w:ascii="Bookman Old Style" w:hAnsi="Bookman Old Style"/>
        </w:rPr>
        <w:t xml:space="preserve"> KEJAR.</w:t>
      </w:r>
    </w:p>
    <w:p w14:paraId="20BD2C7B" w14:textId="5327AF44" w:rsidR="00DB5475" w:rsidRPr="007F541B" w:rsidRDefault="00DB5475" w:rsidP="00500FA3">
      <w:pPr>
        <w:spacing w:after="60" w:line="276" w:lineRule="auto"/>
        <w:jc w:val="both"/>
        <w:rPr>
          <w:rFonts w:ascii="Bookman Old Style" w:hAnsi="Bookman Old Style"/>
          <w:sz w:val="22"/>
          <w:szCs w:val="22"/>
          <w:highlight w:val="yellow"/>
          <w:lang w:val="id-ID"/>
        </w:rPr>
      </w:pPr>
      <w:r w:rsidRPr="00D6168E">
        <w:rPr>
          <w:rFonts w:ascii="Bookman Old Style" w:hAnsi="Bookman Old Style"/>
          <w:sz w:val="22"/>
          <w:szCs w:val="22"/>
          <w:lang w:val="id-ID"/>
        </w:rPr>
        <w:t xml:space="preserve">Dari aspek layanan konsumen, sejak 1 Januari hingga </w:t>
      </w:r>
      <w:r w:rsidR="003708A0" w:rsidRPr="00D6168E">
        <w:rPr>
          <w:rFonts w:ascii="Bookman Old Style" w:hAnsi="Bookman Old Style"/>
          <w:sz w:val="22"/>
          <w:szCs w:val="22"/>
          <w:lang w:val="id-ID"/>
        </w:rPr>
        <w:t>14</w:t>
      </w:r>
      <w:r w:rsidR="00E91A46" w:rsidRPr="00D6168E">
        <w:rPr>
          <w:rFonts w:ascii="Bookman Old Style" w:hAnsi="Bookman Old Style"/>
          <w:sz w:val="22"/>
          <w:szCs w:val="22"/>
          <w:lang w:val="id-ID"/>
        </w:rPr>
        <w:t xml:space="preserve"> Juli</w:t>
      </w:r>
      <w:r w:rsidRPr="00D6168E">
        <w:rPr>
          <w:rFonts w:ascii="Bookman Old Style" w:hAnsi="Bookman Old Style"/>
          <w:sz w:val="22"/>
          <w:szCs w:val="22"/>
          <w:lang w:val="id-ID"/>
        </w:rPr>
        <w:t xml:space="preserve"> 2025 terdapat </w:t>
      </w:r>
      <w:r w:rsidR="005455FF" w:rsidRPr="007F541B">
        <w:rPr>
          <w:rFonts w:ascii="Bookman Old Style" w:hAnsi="Bookman Old Style"/>
          <w:sz w:val="22"/>
          <w:szCs w:val="22"/>
          <w:lang w:val="id-ID"/>
        </w:rPr>
        <w:t xml:space="preserve">268.908 permintaan layanan melalui Aplikasi Portal Pelindungan Konsumen (APPK), termasuk 24.975 pengaduan. Dari jumlah pengaduan tersebut, 9.487 pengaduan berasal dari sektor perbankan, 9.367 dari industri </w:t>
      </w:r>
      <w:r w:rsidR="005455FF" w:rsidRPr="007F541B">
        <w:rPr>
          <w:rFonts w:ascii="Bookman Old Style" w:hAnsi="Bookman Old Style"/>
          <w:i/>
          <w:iCs/>
          <w:sz w:val="22"/>
          <w:szCs w:val="22"/>
          <w:lang w:val="id-ID"/>
        </w:rPr>
        <w:t>financial technology</w:t>
      </w:r>
      <w:r w:rsidR="005455FF" w:rsidRPr="007F541B">
        <w:rPr>
          <w:rFonts w:ascii="Bookman Old Style" w:hAnsi="Bookman Old Style"/>
          <w:sz w:val="22"/>
          <w:szCs w:val="22"/>
          <w:lang w:val="id-ID"/>
        </w:rPr>
        <w:t xml:space="preserve">, 4.994 dari perusahaan pembiayaan, 795 dari perusahaan asuransi, </w:t>
      </w:r>
      <w:r w:rsidR="00AB5FEE" w:rsidRPr="00D6168E">
        <w:rPr>
          <w:rFonts w:ascii="Bookman Old Style" w:hAnsi="Bookman Old Style"/>
          <w:sz w:val="22"/>
          <w:szCs w:val="22"/>
          <w:lang w:val="id-ID"/>
        </w:rPr>
        <w:t>serta sebanyak 332 dari sektor pasar modal dan industri keuangan non-bank lainnya</w:t>
      </w:r>
      <w:r w:rsidR="00AB5FEE" w:rsidRPr="00AB5FEE">
        <w:rPr>
          <w:rFonts w:ascii="Bookman Old Style" w:hAnsi="Bookman Old Style"/>
          <w:sz w:val="22"/>
          <w:szCs w:val="22"/>
          <w:lang w:val="id-ID"/>
        </w:rPr>
        <w:t>.</w:t>
      </w:r>
    </w:p>
    <w:p w14:paraId="0C27AD30" w14:textId="77777777" w:rsidR="00A428BB" w:rsidRPr="000E2171" w:rsidRDefault="00096E9C" w:rsidP="00500FA3">
      <w:pPr>
        <w:spacing w:after="60" w:line="276" w:lineRule="auto"/>
        <w:jc w:val="both"/>
        <w:rPr>
          <w:rFonts w:ascii="Bookman Old Style" w:hAnsi="Bookman Old Style"/>
          <w:sz w:val="22"/>
          <w:szCs w:val="22"/>
          <w:lang w:val="id-ID"/>
        </w:rPr>
      </w:pPr>
      <w:r w:rsidRPr="007F541B">
        <w:rPr>
          <w:rFonts w:ascii="Bookman Old Style" w:hAnsi="Bookman Old Style"/>
          <w:sz w:val="22"/>
          <w:szCs w:val="22"/>
          <w:lang w:val="id-ID"/>
        </w:rPr>
        <w:t>Dalam rangka</w:t>
      </w:r>
      <w:r w:rsidR="00BB1769" w:rsidRPr="00D6168E">
        <w:rPr>
          <w:rFonts w:ascii="Bookman Old Style" w:hAnsi="Bookman Old Style"/>
          <w:sz w:val="22"/>
          <w:szCs w:val="22"/>
          <w:lang w:val="id-ID"/>
        </w:rPr>
        <w:t xml:space="preserve"> mendukung program Pemerintah di sektor perumahan, </w:t>
      </w:r>
      <w:r w:rsidR="00C74F92" w:rsidRPr="000E2171">
        <w:rPr>
          <w:rFonts w:ascii="Bookman Old Style" w:hAnsi="Bookman Old Style"/>
          <w:sz w:val="22"/>
          <w:szCs w:val="22"/>
          <w:lang w:val="id-ID"/>
        </w:rPr>
        <w:t xml:space="preserve">OJK </w:t>
      </w:r>
      <w:r w:rsidR="00707445" w:rsidRPr="000E2171">
        <w:rPr>
          <w:rFonts w:ascii="Bookman Old Style" w:hAnsi="Bookman Old Style"/>
          <w:sz w:val="22"/>
          <w:szCs w:val="22"/>
          <w:lang w:val="id-ID"/>
        </w:rPr>
        <w:t>telah</w:t>
      </w:r>
      <w:r w:rsidR="00C74F92" w:rsidRPr="000E2171">
        <w:rPr>
          <w:rFonts w:ascii="Bookman Old Style" w:hAnsi="Bookman Old Style"/>
          <w:sz w:val="22"/>
          <w:szCs w:val="22"/>
          <w:lang w:val="id-ID"/>
        </w:rPr>
        <w:t xml:space="preserve"> menyiapkan kanal pengaduan khusus pada Kontak 157 untuk menampung pengaduan jika terdapat kendala dalam proses pengajuan KPR untuk </w:t>
      </w:r>
      <w:r w:rsidR="005974A7" w:rsidRPr="000E2171">
        <w:rPr>
          <w:rFonts w:ascii="Bookman Old Style" w:hAnsi="Bookman Old Style"/>
          <w:sz w:val="22"/>
          <w:szCs w:val="22"/>
          <w:lang w:val="id-ID"/>
        </w:rPr>
        <w:t xml:space="preserve">Masyarakat Berpenghasilan Rendah. </w:t>
      </w:r>
    </w:p>
    <w:p w14:paraId="250177C5" w14:textId="75CB1D15" w:rsidR="00BB1769" w:rsidRPr="00D6168E" w:rsidRDefault="005974A7" w:rsidP="00500FA3">
      <w:pPr>
        <w:spacing w:after="60" w:line="276" w:lineRule="auto"/>
        <w:jc w:val="both"/>
        <w:rPr>
          <w:rFonts w:ascii="Bookman Old Style" w:hAnsi="Bookman Old Style"/>
          <w:sz w:val="22"/>
          <w:szCs w:val="22"/>
          <w:lang w:val="id-ID"/>
        </w:rPr>
      </w:pPr>
      <w:r w:rsidRPr="000E2171">
        <w:rPr>
          <w:rFonts w:ascii="Bookman Old Style" w:hAnsi="Bookman Old Style"/>
          <w:sz w:val="22"/>
          <w:szCs w:val="22"/>
          <w:lang w:val="id-ID"/>
        </w:rPr>
        <w:t>P</w:t>
      </w:r>
      <w:r w:rsidR="004C3699" w:rsidRPr="007F541B">
        <w:rPr>
          <w:rFonts w:ascii="Bookman Old Style" w:eastAsia="Bookman Old Style" w:hAnsi="Bookman Old Style" w:cs="Bookman Old Style"/>
          <w:sz w:val="22"/>
          <w:szCs w:val="22"/>
          <w:lang w:val="id-ID"/>
        </w:rPr>
        <w:t>ada periode 1 Januari hingga 27 Juli 2025</w:t>
      </w:r>
      <w:r w:rsidR="00E56A9F">
        <w:rPr>
          <w:rFonts w:ascii="Bookman Old Style" w:eastAsia="Bookman Old Style" w:hAnsi="Bookman Old Style" w:cs="Bookman Old Style"/>
          <w:sz w:val="22"/>
          <w:szCs w:val="22"/>
          <w:lang w:val="id-ID"/>
        </w:rPr>
        <w:t>,</w:t>
      </w:r>
      <w:r w:rsidR="004C3699" w:rsidRPr="007F541B">
        <w:rPr>
          <w:rFonts w:ascii="Bookman Old Style" w:eastAsia="Bookman Old Style" w:hAnsi="Bookman Old Style" w:cs="Bookman Old Style"/>
          <w:sz w:val="22"/>
          <w:szCs w:val="22"/>
          <w:lang w:val="id-ID"/>
        </w:rPr>
        <w:t xml:space="preserve"> OJK telah menerima 62 </w:t>
      </w:r>
      <w:r w:rsidR="002A2A6B">
        <w:rPr>
          <w:rFonts w:ascii="Bookman Old Style" w:eastAsia="Bookman Old Style" w:hAnsi="Bookman Old Style" w:cs="Bookman Old Style"/>
          <w:sz w:val="22"/>
          <w:szCs w:val="22"/>
          <w:lang w:val="id-ID"/>
        </w:rPr>
        <w:t>p</w:t>
      </w:r>
      <w:r w:rsidR="004C3699" w:rsidRPr="007F541B">
        <w:rPr>
          <w:rFonts w:ascii="Bookman Old Style" w:eastAsia="Bookman Old Style" w:hAnsi="Bookman Old Style" w:cs="Bookman Old Style"/>
          <w:sz w:val="22"/>
          <w:szCs w:val="22"/>
          <w:lang w:val="id-ID"/>
        </w:rPr>
        <w:t xml:space="preserve">engaduan terkait Kredit/Pembiayaan Pemilikan Rumah (KPR) yang berhubungan dengan SLIK dan telah ditindaklanjuti dengan tingkat penyelesaian 85,48 persen. Selain itu, tercatat 5 layanan pertanyaan yang membahas pengajuan KPR </w:t>
      </w:r>
      <w:r w:rsidR="00243731" w:rsidRPr="00243731">
        <w:rPr>
          <w:rFonts w:ascii="Bookman Old Style" w:eastAsia="Bookman Old Style" w:hAnsi="Bookman Old Style" w:cs="Bookman Old Style"/>
          <w:sz w:val="22"/>
          <w:szCs w:val="22"/>
          <w:lang w:val="id-ID"/>
        </w:rPr>
        <w:t>Fasilitas Likuiditas Pembiayaan Perumahan</w:t>
      </w:r>
      <w:r w:rsidR="00A11373">
        <w:rPr>
          <w:rFonts w:ascii="Bookman Old Style" w:eastAsia="Bookman Old Style" w:hAnsi="Bookman Old Style" w:cs="Bookman Old Style"/>
          <w:sz w:val="22"/>
          <w:szCs w:val="22"/>
          <w:lang w:val="id-ID"/>
        </w:rPr>
        <w:t xml:space="preserve"> (</w:t>
      </w:r>
      <w:r w:rsidR="004C3699" w:rsidRPr="007F541B">
        <w:rPr>
          <w:rFonts w:ascii="Bookman Old Style" w:eastAsia="Bookman Old Style" w:hAnsi="Bookman Old Style" w:cs="Bookman Old Style"/>
          <w:sz w:val="22"/>
          <w:szCs w:val="22"/>
          <w:lang w:val="id-ID"/>
        </w:rPr>
        <w:t>FLPP</w:t>
      </w:r>
      <w:r w:rsidR="00A11373">
        <w:rPr>
          <w:rFonts w:ascii="Bookman Old Style" w:eastAsia="Bookman Old Style" w:hAnsi="Bookman Old Style" w:cs="Bookman Old Style"/>
          <w:sz w:val="22"/>
          <w:szCs w:val="22"/>
          <w:lang w:val="id-ID"/>
        </w:rPr>
        <w:t>)</w:t>
      </w:r>
      <w:r w:rsidR="004C3699" w:rsidRPr="007F541B">
        <w:rPr>
          <w:rFonts w:ascii="Bookman Old Style" w:eastAsia="Bookman Old Style" w:hAnsi="Bookman Old Style" w:cs="Bookman Old Style"/>
          <w:sz w:val="22"/>
          <w:szCs w:val="22"/>
          <w:lang w:val="id-ID"/>
        </w:rPr>
        <w:t xml:space="preserve"> yang terkait dengan SLIK.</w:t>
      </w:r>
    </w:p>
    <w:p w14:paraId="14603371" w14:textId="4B133837" w:rsidR="00DB5475" w:rsidRDefault="00DB5475" w:rsidP="00500FA3">
      <w:pPr>
        <w:pStyle w:val="BodyText"/>
        <w:spacing w:after="60" w:line="264" w:lineRule="auto"/>
        <w:ind w:right="-46"/>
        <w:rPr>
          <w:rFonts w:ascii="Bookman Old Style" w:hAnsi="Bookman Old Style"/>
          <w:lang w:val="id-ID"/>
        </w:rPr>
      </w:pPr>
      <w:r w:rsidRPr="007F541B">
        <w:rPr>
          <w:rFonts w:ascii="Bookman Old Style" w:hAnsi="Bookman Old Style"/>
          <w:lang w:val="id-ID"/>
        </w:rPr>
        <w:t xml:space="preserve">Dalam upaya pemberantasan kegiatan keuangan ilegal, sejak 1 Januari hingga </w:t>
      </w:r>
      <w:r w:rsidR="0050777B" w:rsidRPr="007F541B">
        <w:rPr>
          <w:rFonts w:ascii="Bookman Old Style" w:hAnsi="Bookman Old Style"/>
          <w:lang w:val="id-ID"/>
        </w:rPr>
        <w:t>24 Juli</w:t>
      </w:r>
      <w:r w:rsidRPr="007F541B">
        <w:rPr>
          <w:rFonts w:ascii="Bookman Old Style" w:hAnsi="Bookman Old Style"/>
          <w:lang w:val="id-ID"/>
        </w:rPr>
        <w:t xml:space="preserve"> 2025, OJK telah menerima </w:t>
      </w:r>
      <w:r w:rsidR="00B021C4" w:rsidRPr="007F541B">
        <w:rPr>
          <w:rFonts w:ascii="Bookman Old Style" w:hAnsi="Bookman Old Style"/>
          <w:lang w:val="id-ID"/>
        </w:rPr>
        <w:t xml:space="preserve">11.137 pengaduan terkait entitas ilegal. Dari total tersebut, 8.929 pengaduan mengenai pinjaman </w:t>
      </w:r>
      <w:r w:rsidR="00B021C4" w:rsidRPr="007F541B">
        <w:rPr>
          <w:rFonts w:ascii="Bookman Old Style" w:hAnsi="Bookman Old Style"/>
          <w:i/>
          <w:iCs/>
          <w:lang w:val="id-ID"/>
        </w:rPr>
        <w:t xml:space="preserve">online </w:t>
      </w:r>
      <w:r w:rsidR="00B021C4" w:rsidRPr="007F541B">
        <w:rPr>
          <w:rFonts w:ascii="Bookman Old Style" w:hAnsi="Bookman Old Style"/>
          <w:lang w:val="id-ID"/>
        </w:rPr>
        <w:t>ilegal dan 2.208 pengaduan terkait investasi ilegal.</w:t>
      </w:r>
    </w:p>
    <w:p w14:paraId="0A1E31C7" w14:textId="77777777" w:rsidR="005D2483" w:rsidRDefault="005D2483" w:rsidP="00500FA3">
      <w:pPr>
        <w:pStyle w:val="BodyText"/>
        <w:spacing w:after="60" w:line="264" w:lineRule="auto"/>
        <w:ind w:right="-46"/>
        <w:rPr>
          <w:rFonts w:ascii="Bookman Old Style" w:hAnsi="Bookman Old Style"/>
          <w:lang w:val="id-ID"/>
        </w:rPr>
      </w:pPr>
    </w:p>
    <w:p w14:paraId="12FA2FBA" w14:textId="77777777" w:rsidR="005D2483" w:rsidRDefault="005D2483" w:rsidP="00500FA3">
      <w:pPr>
        <w:pStyle w:val="BodyText"/>
        <w:spacing w:after="60" w:line="264" w:lineRule="auto"/>
        <w:ind w:right="-46"/>
        <w:rPr>
          <w:rFonts w:ascii="Bookman Old Style" w:hAnsi="Bookman Old Style"/>
          <w:lang w:val="id-ID"/>
        </w:rPr>
      </w:pPr>
    </w:p>
    <w:p w14:paraId="2ADCAABD" w14:textId="77777777" w:rsidR="005D2483" w:rsidRDefault="005D2483" w:rsidP="00500FA3">
      <w:pPr>
        <w:pStyle w:val="BodyText"/>
        <w:spacing w:after="60" w:line="264" w:lineRule="auto"/>
        <w:ind w:right="-46"/>
        <w:rPr>
          <w:rFonts w:ascii="Bookman Old Style" w:hAnsi="Bookman Old Style"/>
          <w:lang w:val="id-ID"/>
        </w:rPr>
      </w:pPr>
    </w:p>
    <w:p w14:paraId="7BE1FBDC" w14:textId="77777777" w:rsidR="005D2483" w:rsidRDefault="005D2483" w:rsidP="00500FA3">
      <w:pPr>
        <w:pStyle w:val="BodyText"/>
        <w:spacing w:after="60" w:line="264" w:lineRule="auto"/>
        <w:ind w:right="-46"/>
        <w:rPr>
          <w:rFonts w:ascii="Bookman Old Style" w:hAnsi="Bookman Old Style"/>
          <w:lang w:val="id-ID"/>
        </w:rPr>
      </w:pPr>
    </w:p>
    <w:p w14:paraId="2BB3DAFF" w14:textId="77777777" w:rsidR="005D2483" w:rsidRDefault="005D2483" w:rsidP="00500FA3">
      <w:pPr>
        <w:pStyle w:val="BodyText"/>
        <w:spacing w:after="60" w:line="264" w:lineRule="auto"/>
        <w:ind w:right="-46"/>
        <w:rPr>
          <w:rFonts w:ascii="Bookman Old Style" w:hAnsi="Bookman Old Style"/>
          <w:lang w:val="id-ID"/>
        </w:rPr>
      </w:pPr>
    </w:p>
    <w:p w14:paraId="4D204BEB" w14:textId="77777777" w:rsidR="005D2483" w:rsidRPr="007F541B" w:rsidRDefault="005D2483" w:rsidP="00500FA3">
      <w:pPr>
        <w:pStyle w:val="BodyText"/>
        <w:spacing w:after="60" w:line="264" w:lineRule="auto"/>
        <w:ind w:right="-46"/>
        <w:rPr>
          <w:rFonts w:ascii="Bookman Old Style" w:hAnsi="Bookman Old Style"/>
          <w:lang w:val="id-ID"/>
        </w:rPr>
      </w:pPr>
    </w:p>
    <w:p w14:paraId="49A237D6" w14:textId="77777777" w:rsidR="00DB5475" w:rsidRPr="007F541B" w:rsidRDefault="00DB5475" w:rsidP="00500FA3">
      <w:pPr>
        <w:spacing w:after="60" w:line="259" w:lineRule="auto"/>
        <w:jc w:val="both"/>
        <w:rPr>
          <w:rFonts w:ascii="Bookman Old Style" w:hAnsi="Bookman Old Style"/>
          <w:sz w:val="22"/>
          <w:szCs w:val="22"/>
          <w:lang w:val="id-ID"/>
        </w:rPr>
      </w:pPr>
      <w:r w:rsidRPr="007F541B">
        <w:rPr>
          <w:rFonts w:ascii="Bookman Old Style" w:hAnsi="Bookman Old Style"/>
          <w:noProof/>
          <w:sz w:val="22"/>
          <w:szCs w:val="22"/>
          <w:lang w:val="id-ID"/>
        </w:rPr>
        <w:lastRenderedPageBreak/>
        <w:drawing>
          <wp:anchor distT="0" distB="0" distL="0" distR="0" simplePos="0" relativeHeight="251658241" behindDoc="0" locked="0" layoutInCell="1" allowOverlap="1" wp14:anchorId="6403DBCF" wp14:editId="03148D5D">
            <wp:simplePos x="0" y="0"/>
            <wp:positionH relativeFrom="page">
              <wp:posOffset>0</wp:posOffset>
            </wp:positionH>
            <wp:positionV relativeFrom="page">
              <wp:posOffset>1269</wp:posOffset>
            </wp:positionV>
            <wp:extent cx="228599" cy="955643"/>
            <wp:effectExtent l="0" t="0" r="0" b="0"/>
            <wp:wrapNone/>
            <wp:docPr id="171" name="Imag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 name="Image 171"/>
                    <pic:cNvPicPr/>
                  </pic:nvPicPr>
                  <pic:blipFill>
                    <a:blip r:embed="rId16" cstate="print"/>
                    <a:stretch>
                      <a:fillRect/>
                    </a:stretch>
                  </pic:blipFill>
                  <pic:spPr>
                    <a:xfrm>
                      <a:off x="0" y="0"/>
                      <a:ext cx="228599" cy="955643"/>
                    </a:xfrm>
                    <a:prstGeom prst="rect">
                      <a:avLst/>
                    </a:prstGeom>
                  </pic:spPr>
                </pic:pic>
              </a:graphicData>
            </a:graphic>
          </wp:anchor>
        </w:drawing>
      </w:r>
      <w:r w:rsidRPr="007F541B">
        <w:rPr>
          <w:rFonts w:ascii="Bookman Old Style" w:hAnsi="Bookman Old Style"/>
          <w:sz w:val="22"/>
          <w:szCs w:val="22"/>
          <w:lang w:val="id-ID"/>
        </w:rPr>
        <w:t>Adapun</w:t>
      </w:r>
      <w:r w:rsidRPr="007F541B">
        <w:rPr>
          <w:rFonts w:ascii="Bookman Old Style" w:hAnsi="Bookman Old Style"/>
          <w:spacing w:val="-5"/>
          <w:sz w:val="22"/>
          <w:szCs w:val="22"/>
          <w:lang w:val="id-ID"/>
        </w:rPr>
        <w:t xml:space="preserve"> </w:t>
      </w:r>
      <w:r w:rsidRPr="007F541B">
        <w:rPr>
          <w:rFonts w:ascii="Bookman Old Style" w:hAnsi="Bookman Old Style"/>
          <w:sz w:val="22"/>
          <w:szCs w:val="22"/>
          <w:lang w:val="id-ID"/>
        </w:rPr>
        <w:t>jumlah</w:t>
      </w:r>
      <w:r w:rsidRPr="007F541B">
        <w:rPr>
          <w:rFonts w:ascii="Bookman Old Style" w:hAnsi="Bookman Old Style"/>
          <w:spacing w:val="-5"/>
          <w:sz w:val="22"/>
          <w:szCs w:val="22"/>
          <w:lang w:val="id-ID"/>
        </w:rPr>
        <w:t xml:space="preserve"> </w:t>
      </w:r>
      <w:r w:rsidRPr="007F541B">
        <w:rPr>
          <w:rFonts w:ascii="Bookman Old Style" w:hAnsi="Bookman Old Style"/>
          <w:sz w:val="22"/>
          <w:szCs w:val="22"/>
          <w:lang w:val="id-ID"/>
        </w:rPr>
        <w:t>entitas</w:t>
      </w:r>
      <w:r w:rsidRPr="007F541B">
        <w:rPr>
          <w:rFonts w:ascii="Bookman Old Style" w:hAnsi="Bookman Old Style"/>
          <w:spacing w:val="-5"/>
          <w:sz w:val="22"/>
          <w:szCs w:val="22"/>
          <w:lang w:val="id-ID"/>
        </w:rPr>
        <w:t xml:space="preserve"> </w:t>
      </w:r>
      <w:r w:rsidRPr="007F541B">
        <w:rPr>
          <w:rFonts w:ascii="Bookman Old Style" w:hAnsi="Bookman Old Style"/>
          <w:sz w:val="22"/>
          <w:szCs w:val="22"/>
          <w:lang w:val="id-ID"/>
        </w:rPr>
        <w:t>ilegal</w:t>
      </w:r>
      <w:r w:rsidRPr="007F541B">
        <w:rPr>
          <w:rFonts w:ascii="Bookman Old Style" w:hAnsi="Bookman Old Style"/>
          <w:spacing w:val="-7"/>
          <w:sz w:val="22"/>
          <w:szCs w:val="22"/>
          <w:lang w:val="id-ID"/>
        </w:rPr>
        <w:t xml:space="preserve"> </w:t>
      </w:r>
      <w:r w:rsidRPr="007F541B">
        <w:rPr>
          <w:rFonts w:ascii="Bookman Old Style" w:hAnsi="Bookman Old Style"/>
          <w:sz w:val="22"/>
          <w:szCs w:val="22"/>
          <w:lang w:val="id-ID"/>
        </w:rPr>
        <w:t>yang</w:t>
      </w:r>
      <w:r w:rsidRPr="007F541B">
        <w:rPr>
          <w:rFonts w:ascii="Bookman Old Style" w:hAnsi="Bookman Old Style"/>
          <w:spacing w:val="-5"/>
          <w:sz w:val="22"/>
          <w:szCs w:val="22"/>
          <w:lang w:val="id-ID"/>
        </w:rPr>
        <w:t xml:space="preserve"> </w:t>
      </w:r>
      <w:r w:rsidRPr="007F541B">
        <w:rPr>
          <w:rFonts w:ascii="Bookman Old Style" w:hAnsi="Bookman Old Style"/>
          <w:sz w:val="22"/>
          <w:szCs w:val="22"/>
          <w:lang w:val="id-ID"/>
        </w:rPr>
        <w:t>telah</w:t>
      </w:r>
      <w:r w:rsidRPr="007F541B">
        <w:rPr>
          <w:rFonts w:ascii="Bookman Old Style" w:hAnsi="Bookman Old Style"/>
          <w:spacing w:val="-5"/>
          <w:sz w:val="22"/>
          <w:szCs w:val="22"/>
          <w:lang w:val="id-ID"/>
        </w:rPr>
        <w:t xml:space="preserve"> </w:t>
      </w:r>
      <w:r w:rsidRPr="007F541B">
        <w:rPr>
          <w:rFonts w:ascii="Bookman Old Style" w:hAnsi="Bookman Old Style"/>
          <w:sz w:val="22"/>
          <w:szCs w:val="22"/>
          <w:lang w:val="id-ID"/>
        </w:rPr>
        <w:t>dihentikan/diblokir</w:t>
      </w:r>
      <w:r w:rsidRPr="007F541B">
        <w:rPr>
          <w:rFonts w:ascii="Bookman Old Style" w:hAnsi="Bookman Old Style"/>
          <w:spacing w:val="-7"/>
          <w:sz w:val="22"/>
          <w:szCs w:val="22"/>
          <w:lang w:val="id-ID"/>
        </w:rPr>
        <w:t xml:space="preserve"> </w:t>
      </w:r>
      <w:r w:rsidRPr="007F541B">
        <w:rPr>
          <w:rFonts w:ascii="Bookman Old Style" w:hAnsi="Bookman Old Style"/>
          <w:sz w:val="22"/>
          <w:szCs w:val="22"/>
          <w:lang w:val="id-ID"/>
        </w:rPr>
        <w:t>adalah</w:t>
      </w:r>
      <w:r w:rsidRPr="007F541B">
        <w:rPr>
          <w:rFonts w:ascii="Bookman Old Style" w:hAnsi="Bookman Old Style"/>
          <w:spacing w:val="-5"/>
          <w:sz w:val="22"/>
          <w:szCs w:val="22"/>
          <w:lang w:val="id-ID"/>
        </w:rPr>
        <w:t xml:space="preserve"> </w:t>
      </w:r>
      <w:r w:rsidRPr="007F541B">
        <w:rPr>
          <w:rFonts w:ascii="Bookman Old Style" w:hAnsi="Bookman Old Style"/>
          <w:sz w:val="22"/>
          <w:szCs w:val="22"/>
          <w:lang w:val="id-ID"/>
        </w:rPr>
        <w:t>sebagai</w:t>
      </w:r>
      <w:r w:rsidRPr="007F541B">
        <w:rPr>
          <w:rFonts w:ascii="Bookman Old Style" w:hAnsi="Bookman Old Style"/>
          <w:spacing w:val="-5"/>
          <w:sz w:val="22"/>
          <w:szCs w:val="22"/>
          <w:lang w:val="id-ID"/>
        </w:rPr>
        <w:t xml:space="preserve"> </w:t>
      </w:r>
      <w:r w:rsidRPr="007F541B">
        <w:rPr>
          <w:rFonts w:ascii="Bookman Old Style" w:hAnsi="Bookman Old Style"/>
          <w:spacing w:val="-2"/>
          <w:sz w:val="22"/>
          <w:szCs w:val="22"/>
          <w:lang w:val="id-ID"/>
        </w:rPr>
        <w:t>berikut:</w:t>
      </w:r>
    </w:p>
    <w:tbl>
      <w:tblPr>
        <w:tblW w:w="919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18"/>
        <w:gridCol w:w="809"/>
        <w:gridCol w:w="775"/>
        <w:gridCol w:w="773"/>
        <w:gridCol w:w="776"/>
        <w:gridCol w:w="773"/>
        <w:gridCol w:w="775"/>
        <w:gridCol w:w="891"/>
        <w:gridCol w:w="1277"/>
        <w:gridCol w:w="913"/>
        <w:gridCol w:w="10"/>
      </w:tblGrid>
      <w:tr w:rsidR="00DB5475" w:rsidRPr="007F541B" w14:paraId="0ACE3665" w14:textId="77777777">
        <w:trPr>
          <w:trHeight w:val="282"/>
        </w:trPr>
        <w:tc>
          <w:tcPr>
            <w:tcW w:w="1418" w:type="dxa"/>
            <w:vMerge w:val="restart"/>
            <w:shd w:val="clear" w:color="auto" w:fill="D9D9D9" w:themeFill="background1" w:themeFillShade="D9"/>
          </w:tcPr>
          <w:p w14:paraId="6F44F903" w14:textId="77777777" w:rsidR="00DB5475" w:rsidRPr="007F541B" w:rsidRDefault="00DB5475" w:rsidP="00500FA3">
            <w:pPr>
              <w:pStyle w:val="TableParagraph"/>
              <w:rPr>
                <w:rFonts w:ascii="Bookman Old Style" w:hAnsi="Bookman Old Style"/>
                <w:sz w:val="18"/>
                <w:szCs w:val="18"/>
                <w:lang w:val="id-ID"/>
              </w:rPr>
            </w:pPr>
          </w:p>
          <w:p w14:paraId="4411D3FD" w14:textId="77777777" w:rsidR="00DB5475" w:rsidRPr="007F541B" w:rsidRDefault="00DB5475" w:rsidP="00500FA3">
            <w:pPr>
              <w:pStyle w:val="TableParagraph"/>
              <w:ind w:left="323"/>
              <w:rPr>
                <w:rFonts w:ascii="Bookman Old Style" w:hAnsi="Bookman Old Style"/>
                <w:b/>
                <w:sz w:val="18"/>
                <w:szCs w:val="18"/>
                <w:lang w:val="id-ID"/>
              </w:rPr>
            </w:pPr>
            <w:r w:rsidRPr="007F541B">
              <w:rPr>
                <w:rFonts w:ascii="Bookman Old Style" w:hAnsi="Bookman Old Style"/>
                <w:b/>
                <w:spacing w:val="-2"/>
                <w:w w:val="115"/>
                <w:sz w:val="18"/>
                <w:szCs w:val="18"/>
                <w:lang w:val="id-ID"/>
              </w:rPr>
              <w:t>Entitas</w:t>
            </w:r>
          </w:p>
        </w:tc>
        <w:tc>
          <w:tcPr>
            <w:tcW w:w="7772" w:type="dxa"/>
            <w:gridSpan w:val="10"/>
            <w:shd w:val="clear" w:color="auto" w:fill="D9D9D9" w:themeFill="background1" w:themeFillShade="D9"/>
          </w:tcPr>
          <w:p w14:paraId="7AFE59F6" w14:textId="77777777" w:rsidR="00DB5475" w:rsidRPr="007F541B" w:rsidRDefault="00DB5475" w:rsidP="00500FA3">
            <w:pPr>
              <w:pStyle w:val="TableParagraph"/>
              <w:ind w:left="5"/>
              <w:jc w:val="center"/>
              <w:rPr>
                <w:rFonts w:ascii="Bookman Old Style" w:hAnsi="Bookman Old Style"/>
                <w:b/>
                <w:sz w:val="18"/>
                <w:szCs w:val="18"/>
                <w:lang w:val="id-ID"/>
              </w:rPr>
            </w:pPr>
            <w:r w:rsidRPr="007F541B">
              <w:rPr>
                <w:rFonts w:ascii="Bookman Old Style" w:hAnsi="Bookman Old Style"/>
                <w:b/>
                <w:spacing w:val="-2"/>
                <w:w w:val="110"/>
                <w:sz w:val="18"/>
                <w:szCs w:val="18"/>
                <w:lang w:val="id-ID"/>
              </w:rPr>
              <w:t>Tahun</w:t>
            </w:r>
          </w:p>
        </w:tc>
      </w:tr>
      <w:tr w:rsidR="00DB5475" w:rsidRPr="007F541B" w14:paraId="28503288" w14:textId="77777777">
        <w:trPr>
          <w:gridAfter w:val="1"/>
          <w:wAfter w:w="10" w:type="dxa"/>
          <w:trHeight w:val="104"/>
        </w:trPr>
        <w:tc>
          <w:tcPr>
            <w:tcW w:w="1418" w:type="dxa"/>
            <w:vMerge/>
          </w:tcPr>
          <w:p w14:paraId="24097644" w14:textId="77777777" w:rsidR="00DB5475" w:rsidRPr="007F541B" w:rsidRDefault="00DB5475" w:rsidP="00500FA3">
            <w:pPr>
              <w:spacing w:after="0" w:line="240" w:lineRule="auto"/>
              <w:rPr>
                <w:rFonts w:ascii="Bookman Old Style" w:hAnsi="Bookman Old Style"/>
                <w:sz w:val="18"/>
                <w:szCs w:val="18"/>
                <w:lang w:val="id-ID"/>
              </w:rPr>
            </w:pPr>
          </w:p>
        </w:tc>
        <w:tc>
          <w:tcPr>
            <w:tcW w:w="809" w:type="dxa"/>
            <w:shd w:val="clear" w:color="auto" w:fill="D9D9D9" w:themeFill="background1" w:themeFillShade="D9"/>
          </w:tcPr>
          <w:p w14:paraId="1A0AE3AD" w14:textId="77777777" w:rsidR="00DB5475" w:rsidRPr="007F541B" w:rsidRDefault="00DB5475" w:rsidP="00500FA3">
            <w:pPr>
              <w:pStyle w:val="TableParagraph"/>
              <w:ind w:left="17"/>
              <w:jc w:val="center"/>
              <w:rPr>
                <w:rFonts w:ascii="Bookman Old Style" w:hAnsi="Bookman Old Style"/>
                <w:b/>
                <w:sz w:val="18"/>
                <w:szCs w:val="18"/>
                <w:lang w:val="id-ID"/>
              </w:rPr>
            </w:pPr>
            <w:r w:rsidRPr="007F541B">
              <w:rPr>
                <w:rFonts w:ascii="Bookman Old Style" w:hAnsi="Bookman Old Style"/>
                <w:b/>
                <w:spacing w:val="-4"/>
                <w:w w:val="110"/>
                <w:sz w:val="18"/>
                <w:szCs w:val="18"/>
                <w:lang w:val="id-ID"/>
              </w:rPr>
              <w:t xml:space="preserve">2017- </w:t>
            </w:r>
          </w:p>
          <w:p w14:paraId="2ECD1693" w14:textId="77777777" w:rsidR="00DB5475" w:rsidRPr="007F541B" w:rsidRDefault="00DB5475" w:rsidP="00500FA3">
            <w:pPr>
              <w:pStyle w:val="TableParagraph"/>
              <w:ind w:left="17"/>
              <w:jc w:val="center"/>
              <w:rPr>
                <w:rFonts w:ascii="Bookman Old Style" w:hAnsi="Bookman Old Style"/>
                <w:b/>
                <w:sz w:val="18"/>
                <w:szCs w:val="18"/>
                <w:lang w:val="id-ID"/>
              </w:rPr>
            </w:pPr>
            <w:r w:rsidRPr="007F541B">
              <w:rPr>
                <w:rFonts w:ascii="Bookman Old Style" w:hAnsi="Bookman Old Style"/>
                <w:b/>
                <w:spacing w:val="-4"/>
                <w:w w:val="110"/>
                <w:sz w:val="18"/>
                <w:szCs w:val="18"/>
                <w:lang w:val="id-ID"/>
              </w:rPr>
              <w:t>2018</w:t>
            </w:r>
          </w:p>
        </w:tc>
        <w:tc>
          <w:tcPr>
            <w:tcW w:w="775" w:type="dxa"/>
            <w:shd w:val="clear" w:color="auto" w:fill="D9D9D9" w:themeFill="background1" w:themeFillShade="D9"/>
          </w:tcPr>
          <w:p w14:paraId="0CE7DE1F" w14:textId="77777777" w:rsidR="00DB5475" w:rsidRPr="007F541B" w:rsidRDefault="00DB5475" w:rsidP="00500FA3">
            <w:pPr>
              <w:pStyle w:val="TableParagraph"/>
              <w:rPr>
                <w:rFonts w:ascii="Bookman Old Style" w:hAnsi="Bookman Old Style"/>
                <w:sz w:val="18"/>
                <w:szCs w:val="18"/>
                <w:lang w:val="id-ID"/>
              </w:rPr>
            </w:pPr>
          </w:p>
          <w:p w14:paraId="36410123" w14:textId="77777777" w:rsidR="00DB5475" w:rsidRPr="007F541B" w:rsidRDefault="00DB5475" w:rsidP="00500FA3">
            <w:pPr>
              <w:pStyle w:val="TableParagraph"/>
              <w:ind w:left="14"/>
              <w:jc w:val="center"/>
              <w:rPr>
                <w:rFonts w:ascii="Bookman Old Style" w:hAnsi="Bookman Old Style"/>
                <w:b/>
                <w:sz w:val="18"/>
                <w:szCs w:val="18"/>
                <w:lang w:val="id-ID"/>
              </w:rPr>
            </w:pPr>
            <w:r w:rsidRPr="007F541B">
              <w:rPr>
                <w:rFonts w:ascii="Bookman Old Style" w:hAnsi="Bookman Old Style"/>
                <w:b/>
                <w:spacing w:val="-4"/>
                <w:w w:val="110"/>
                <w:sz w:val="18"/>
                <w:szCs w:val="18"/>
                <w:lang w:val="id-ID"/>
              </w:rPr>
              <w:t>2019</w:t>
            </w:r>
          </w:p>
        </w:tc>
        <w:tc>
          <w:tcPr>
            <w:tcW w:w="773" w:type="dxa"/>
            <w:shd w:val="clear" w:color="auto" w:fill="D9D9D9" w:themeFill="background1" w:themeFillShade="D9"/>
          </w:tcPr>
          <w:p w14:paraId="76D56631" w14:textId="77777777" w:rsidR="00DB5475" w:rsidRPr="007F541B" w:rsidRDefault="00DB5475" w:rsidP="00500FA3">
            <w:pPr>
              <w:pStyle w:val="TableParagraph"/>
              <w:rPr>
                <w:rFonts w:ascii="Bookman Old Style" w:hAnsi="Bookman Old Style"/>
                <w:sz w:val="18"/>
                <w:szCs w:val="18"/>
                <w:lang w:val="id-ID"/>
              </w:rPr>
            </w:pPr>
          </w:p>
          <w:p w14:paraId="73BE54C4" w14:textId="77777777" w:rsidR="00DB5475" w:rsidRPr="007F541B" w:rsidRDefault="00DB5475" w:rsidP="00500FA3">
            <w:pPr>
              <w:pStyle w:val="TableParagraph"/>
              <w:ind w:left="15"/>
              <w:jc w:val="center"/>
              <w:rPr>
                <w:rFonts w:ascii="Bookman Old Style" w:hAnsi="Bookman Old Style"/>
                <w:b/>
                <w:sz w:val="18"/>
                <w:szCs w:val="18"/>
                <w:lang w:val="id-ID"/>
              </w:rPr>
            </w:pPr>
            <w:r w:rsidRPr="007F541B">
              <w:rPr>
                <w:rFonts w:ascii="Bookman Old Style" w:hAnsi="Bookman Old Style"/>
                <w:b/>
                <w:spacing w:val="-4"/>
                <w:w w:val="110"/>
                <w:sz w:val="18"/>
                <w:szCs w:val="18"/>
                <w:lang w:val="id-ID"/>
              </w:rPr>
              <w:t>2020</w:t>
            </w:r>
          </w:p>
        </w:tc>
        <w:tc>
          <w:tcPr>
            <w:tcW w:w="776" w:type="dxa"/>
            <w:shd w:val="clear" w:color="auto" w:fill="D9D9D9" w:themeFill="background1" w:themeFillShade="D9"/>
          </w:tcPr>
          <w:p w14:paraId="67C6E3DA" w14:textId="77777777" w:rsidR="00DB5475" w:rsidRPr="007F541B" w:rsidRDefault="00DB5475" w:rsidP="00500FA3">
            <w:pPr>
              <w:pStyle w:val="TableParagraph"/>
              <w:rPr>
                <w:rFonts w:ascii="Bookman Old Style" w:hAnsi="Bookman Old Style"/>
                <w:sz w:val="18"/>
                <w:szCs w:val="18"/>
                <w:lang w:val="id-ID"/>
              </w:rPr>
            </w:pPr>
          </w:p>
          <w:p w14:paraId="54201DC0" w14:textId="77777777" w:rsidR="00DB5475" w:rsidRPr="007F541B" w:rsidRDefault="00DB5475" w:rsidP="00500FA3">
            <w:pPr>
              <w:pStyle w:val="TableParagraph"/>
              <w:ind w:left="9"/>
              <w:jc w:val="center"/>
              <w:rPr>
                <w:rFonts w:ascii="Bookman Old Style" w:hAnsi="Bookman Old Style"/>
                <w:b/>
                <w:sz w:val="18"/>
                <w:szCs w:val="18"/>
                <w:lang w:val="id-ID"/>
              </w:rPr>
            </w:pPr>
            <w:r w:rsidRPr="007F541B">
              <w:rPr>
                <w:rFonts w:ascii="Bookman Old Style" w:hAnsi="Bookman Old Style"/>
                <w:b/>
                <w:spacing w:val="-4"/>
                <w:w w:val="110"/>
                <w:sz w:val="18"/>
                <w:szCs w:val="18"/>
                <w:lang w:val="id-ID"/>
              </w:rPr>
              <w:t>2021</w:t>
            </w:r>
          </w:p>
        </w:tc>
        <w:tc>
          <w:tcPr>
            <w:tcW w:w="773" w:type="dxa"/>
            <w:shd w:val="clear" w:color="auto" w:fill="D9D9D9" w:themeFill="background1" w:themeFillShade="D9"/>
          </w:tcPr>
          <w:p w14:paraId="6F223CBE" w14:textId="77777777" w:rsidR="00DB5475" w:rsidRPr="007F541B" w:rsidRDefault="00DB5475" w:rsidP="00500FA3">
            <w:pPr>
              <w:pStyle w:val="TableParagraph"/>
              <w:rPr>
                <w:rFonts w:ascii="Bookman Old Style" w:hAnsi="Bookman Old Style"/>
                <w:sz w:val="18"/>
                <w:szCs w:val="18"/>
                <w:lang w:val="id-ID"/>
              </w:rPr>
            </w:pPr>
          </w:p>
          <w:p w14:paraId="0F8137BE" w14:textId="77777777" w:rsidR="00DB5475" w:rsidRPr="007F541B" w:rsidRDefault="00DB5475" w:rsidP="00500FA3">
            <w:pPr>
              <w:pStyle w:val="TableParagraph"/>
              <w:ind w:left="15" w:right="6"/>
              <w:jc w:val="center"/>
              <w:rPr>
                <w:rFonts w:ascii="Bookman Old Style" w:hAnsi="Bookman Old Style"/>
                <w:b/>
                <w:sz w:val="18"/>
                <w:szCs w:val="18"/>
                <w:lang w:val="id-ID"/>
              </w:rPr>
            </w:pPr>
            <w:r w:rsidRPr="007F541B">
              <w:rPr>
                <w:rFonts w:ascii="Bookman Old Style" w:hAnsi="Bookman Old Style"/>
                <w:b/>
                <w:spacing w:val="-4"/>
                <w:w w:val="110"/>
                <w:sz w:val="18"/>
                <w:szCs w:val="18"/>
                <w:lang w:val="id-ID"/>
              </w:rPr>
              <w:t>2022</w:t>
            </w:r>
          </w:p>
        </w:tc>
        <w:tc>
          <w:tcPr>
            <w:tcW w:w="775" w:type="dxa"/>
            <w:shd w:val="clear" w:color="auto" w:fill="D9D9D9" w:themeFill="background1" w:themeFillShade="D9"/>
          </w:tcPr>
          <w:p w14:paraId="6B442B18" w14:textId="77777777" w:rsidR="00DB5475" w:rsidRPr="007F541B" w:rsidRDefault="00DB5475" w:rsidP="00500FA3">
            <w:pPr>
              <w:pStyle w:val="TableParagraph"/>
              <w:rPr>
                <w:rFonts w:ascii="Bookman Old Style" w:hAnsi="Bookman Old Style"/>
                <w:sz w:val="18"/>
                <w:szCs w:val="18"/>
                <w:lang w:val="id-ID"/>
              </w:rPr>
            </w:pPr>
          </w:p>
          <w:p w14:paraId="313624F7" w14:textId="77777777" w:rsidR="00DB5475" w:rsidRPr="007F541B" w:rsidRDefault="00DB5475" w:rsidP="00500FA3">
            <w:pPr>
              <w:pStyle w:val="TableParagraph"/>
              <w:ind w:left="14" w:right="9"/>
              <w:jc w:val="center"/>
              <w:rPr>
                <w:rFonts w:ascii="Bookman Old Style" w:hAnsi="Bookman Old Style"/>
                <w:b/>
                <w:sz w:val="18"/>
                <w:szCs w:val="18"/>
                <w:lang w:val="id-ID"/>
              </w:rPr>
            </w:pPr>
            <w:r w:rsidRPr="007F541B">
              <w:rPr>
                <w:rFonts w:ascii="Bookman Old Style" w:hAnsi="Bookman Old Style"/>
                <w:b/>
                <w:spacing w:val="-4"/>
                <w:w w:val="110"/>
                <w:sz w:val="18"/>
                <w:szCs w:val="18"/>
                <w:lang w:val="id-ID"/>
              </w:rPr>
              <w:t>2023</w:t>
            </w:r>
          </w:p>
        </w:tc>
        <w:tc>
          <w:tcPr>
            <w:tcW w:w="891" w:type="dxa"/>
            <w:shd w:val="clear" w:color="auto" w:fill="D9D9D9" w:themeFill="background1" w:themeFillShade="D9"/>
          </w:tcPr>
          <w:p w14:paraId="0534EB48" w14:textId="77777777" w:rsidR="00DB5475" w:rsidRPr="007F541B" w:rsidRDefault="00DB5475" w:rsidP="00500FA3">
            <w:pPr>
              <w:pStyle w:val="TableParagraph"/>
              <w:rPr>
                <w:rFonts w:ascii="Bookman Old Style" w:hAnsi="Bookman Old Style"/>
                <w:sz w:val="18"/>
                <w:szCs w:val="18"/>
                <w:lang w:val="id-ID"/>
              </w:rPr>
            </w:pPr>
          </w:p>
          <w:p w14:paraId="5A32CA93" w14:textId="77777777" w:rsidR="00DB5475" w:rsidRPr="007F541B" w:rsidRDefault="00DB5475" w:rsidP="00500FA3">
            <w:pPr>
              <w:pStyle w:val="TableParagraph"/>
              <w:ind w:left="3"/>
              <w:jc w:val="center"/>
              <w:rPr>
                <w:rFonts w:ascii="Bookman Old Style" w:hAnsi="Bookman Old Style"/>
                <w:b/>
                <w:sz w:val="18"/>
                <w:szCs w:val="18"/>
                <w:lang w:val="id-ID"/>
              </w:rPr>
            </w:pPr>
            <w:r w:rsidRPr="007F541B">
              <w:rPr>
                <w:rFonts w:ascii="Bookman Old Style" w:hAnsi="Bookman Old Style"/>
                <w:b/>
                <w:spacing w:val="-4"/>
                <w:w w:val="110"/>
                <w:sz w:val="18"/>
                <w:szCs w:val="18"/>
                <w:lang w:val="id-ID"/>
              </w:rPr>
              <w:t>2024</w:t>
            </w:r>
          </w:p>
        </w:tc>
        <w:tc>
          <w:tcPr>
            <w:tcW w:w="1277" w:type="dxa"/>
            <w:shd w:val="clear" w:color="auto" w:fill="D9D9D9" w:themeFill="background1" w:themeFillShade="D9"/>
          </w:tcPr>
          <w:p w14:paraId="699243B0" w14:textId="77777777" w:rsidR="00DB5475" w:rsidRPr="007F541B" w:rsidRDefault="00DB5475" w:rsidP="00500FA3">
            <w:pPr>
              <w:pStyle w:val="TableParagraph"/>
              <w:ind w:left="91" w:right="91"/>
              <w:jc w:val="center"/>
              <w:rPr>
                <w:rFonts w:ascii="Bookman Old Style" w:hAnsi="Bookman Old Style"/>
                <w:b/>
                <w:sz w:val="18"/>
                <w:szCs w:val="18"/>
                <w:lang w:val="id-ID"/>
              </w:rPr>
            </w:pPr>
            <w:r w:rsidRPr="007F541B">
              <w:rPr>
                <w:rFonts w:ascii="Bookman Old Style" w:hAnsi="Bookman Old Style"/>
                <w:b/>
                <w:w w:val="120"/>
                <w:sz w:val="18"/>
                <w:szCs w:val="18"/>
                <w:lang w:val="id-ID"/>
              </w:rPr>
              <w:t>Jan-25 s</w:t>
            </w:r>
            <w:r w:rsidRPr="007F541B">
              <w:rPr>
                <w:rFonts w:ascii="Bookman Old Style" w:hAnsi="Bookman Old Style"/>
                <w:b/>
                <w:spacing w:val="-4"/>
                <w:w w:val="120"/>
                <w:sz w:val="18"/>
                <w:szCs w:val="18"/>
                <w:lang w:val="id-ID"/>
              </w:rPr>
              <w:t>.d.</w:t>
            </w:r>
          </w:p>
          <w:p w14:paraId="2B3BB26C" w14:textId="65EE305E" w:rsidR="00DB5475" w:rsidRPr="007F541B" w:rsidRDefault="006768E2" w:rsidP="00500FA3">
            <w:pPr>
              <w:pStyle w:val="TableParagraph"/>
              <w:ind w:left="91" w:right="92"/>
              <w:jc w:val="center"/>
              <w:rPr>
                <w:rFonts w:ascii="Bookman Old Style" w:hAnsi="Bookman Old Style"/>
                <w:b/>
                <w:sz w:val="18"/>
                <w:szCs w:val="18"/>
                <w:lang w:val="id-ID"/>
              </w:rPr>
            </w:pPr>
            <w:r w:rsidRPr="007F541B">
              <w:rPr>
                <w:rFonts w:ascii="Bookman Old Style" w:hAnsi="Bookman Old Style"/>
                <w:b/>
                <w:w w:val="110"/>
                <w:sz w:val="18"/>
                <w:szCs w:val="18"/>
                <w:lang w:val="id-ID"/>
              </w:rPr>
              <w:t>24</w:t>
            </w:r>
            <w:r w:rsidR="00DB5475" w:rsidRPr="007F541B">
              <w:rPr>
                <w:rFonts w:ascii="Bookman Old Style" w:hAnsi="Bookman Old Style"/>
                <w:b/>
                <w:w w:val="110"/>
                <w:sz w:val="18"/>
                <w:szCs w:val="18"/>
                <w:lang w:val="id-ID"/>
              </w:rPr>
              <w:t>-Ju</w:t>
            </w:r>
            <w:r w:rsidRPr="007F541B">
              <w:rPr>
                <w:rFonts w:ascii="Bookman Old Style" w:hAnsi="Bookman Old Style"/>
                <w:b/>
                <w:w w:val="110"/>
                <w:sz w:val="18"/>
                <w:szCs w:val="18"/>
                <w:lang w:val="id-ID"/>
              </w:rPr>
              <w:t>l</w:t>
            </w:r>
            <w:r w:rsidR="00DB5475" w:rsidRPr="007F541B">
              <w:rPr>
                <w:rFonts w:ascii="Bookman Old Style" w:hAnsi="Bookman Old Style"/>
                <w:b/>
                <w:w w:val="110"/>
                <w:sz w:val="18"/>
                <w:szCs w:val="18"/>
                <w:lang w:val="id-ID"/>
              </w:rPr>
              <w:t>-</w:t>
            </w:r>
            <w:r w:rsidR="00DB5475" w:rsidRPr="007F541B">
              <w:rPr>
                <w:rFonts w:ascii="Bookman Old Style" w:hAnsi="Bookman Old Style"/>
                <w:b/>
                <w:spacing w:val="-4"/>
                <w:w w:val="110"/>
                <w:sz w:val="18"/>
                <w:szCs w:val="18"/>
                <w:lang w:val="id-ID"/>
              </w:rPr>
              <w:t>25</w:t>
            </w:r>
          </w:p>
        </w:tc>
        <w:tc>
          <w:tcPr>
            <w:tcW w:w="913" w:type="dxa"/>
            <w:shd w:val="clear" w:color="auto" w:fill="D9D9D9" w:themeFill="background1" w:themeFillShade="D9"/>
          </w:tcPr>
          <w:p w14:paraId="2C3899E6" w14:textId="77777777" w:rsidR="00DB5475" w:rsidRPr="007F541B" w:rsidRDefault="00DB5475" w:rsidP="00500FA3">
            <w:pPr>
              <w:pStyle w:val="TableParagraph"/>
              <w:rPr>
                <w:rFonts w:ascii="Bookman Old Style" w:hAnsi="Bookman Old Style"/>
                <w:sz w:val="18"/>
                <w:szCs w:val="18"/>
                <w:lang w:val="id-ID"/>
              </w:rPr>
            </w:pPr>
          </w:p>
          <w:p w14:paraId="1274DD08" w14:textId="77777777" w:rsidR="00DB5475" w:rsidRPr="007F541B" w:rsidRDefault="00DB5475" w:rsidP="00500FA3">
            <w:pPr>
              <w:pStyle w:val="TableParagraph"/>
              <w:ind w:right="1"/>
              <w:jc w:val="center"/>
              <w:rPr>
                <w:rFonts w:ascii="Bookman Old Style" w:hAnsi="Bookman Old Style"/>
                <w:b/>
                <w:sz w:val="18"/>
                <w:szCs w:val="18"/>
                <w:lang w:val="id-ID"/>
              </w:rPr>
            </w:pPr>
            <w:r w:rsidRPr="007F541B">
              <w:rPr>
                <w:rFonts w:ascii="Bookman Old Style" w:hAnsi="Bookman Old Style"/>
                <w:b/>
                <w:spacing w:val="-2"/>
                <w:w w:val="120"/>
                <w:sz w:val="18"/>
                <w:szCs w:val="18"/>
                <w:lang w:val="id-ID"/>
              </w:rPr>
              <w:t>Jumlah</w:t>
            </w:r>
          </w:p>
        </w:tc>
      </w:tr>
      <w:tr w:rsidR="00EE1324" w:rsidRPr="007F541B" w14:paraId="1E192585" w14:textId="77777777">
        <w:trPr>
          <w:gridAfter w:val="1"/>
          <w:wAfter w:w="10" w:type="dxa"/>
          <w:trHeight w:val="553"/>
        </w:trPr>
        <w:tc>
          <w:tcPr>
            <w:tcW w:w="1418" w:type="dxa"/>
          </w:tcPr>
          <w:p w14:paraId="27AF4ED8" w14:textId="77777777" w:rsidR="00EE1324" w:rsidRPr="007F541B" w:rsidRDefault="00EE1324" w:rsidP="00500FA3">
            <w:pPr>
              <w:pStyle w:val="TableParagraph"/>
              <w:ind w:left="100"/>
              <w:rPr>
                <w:rFonts w:ascii="Bookman Old Style" w:hAnsi="Bookman Old Style"/>
                <w:sz w:val="18"/>
                <w:szCs w:val="18"/>
                <w:lang w:val="id-ID"/>
              </w:rPr>
            </w:pPr>
            <w:r w:rsidRPr="007F541B">
              <w:rPr>
                <w:rFonts w:ascii="Bookman Old Style" w:hAnsi="Bookman Old Style"/>
                <w:spacing w:val="-2"/>
                <w:w w:val="110"/>
                <w:sz w:val="18"/>
                <w:szCs w:val="18"/>
                <w:lang w:val="id-ID"/>
              </w:rPr>
              <w:t>Investasi</w:t>
            </w:r>
          </w:p>
          <w:p w14:paraId="0B707A3B" w14:textId="77777777" w:rsidR="00EE1324" w:rsidRPr="007F541B" w:rsidRDefault="00EE1324" w:rsidP="00500FA3">
            <w:pPr>
              <w:pStyle w:val="TableParagraph"/>
              <w:ind w:left="100"/>
              <w:rPr>
                <w:rFonts w:ascii="Bookman Old Style" w:hAnsi="Bookman Old Style"/>
                <w:sz w:val="18"/>
                <w:szCs w:val="18"/>
                <w:lang w:val="id-ID"/>
              </w:rPr>
            </w:pPr>
            <w:r w:rsidRPr="007F541B">
              <w:rPr>
                <w:rFonts w:ascii="Bookman Old Style" w:hAnsi="Bookman Old Style"/>
                <w:spacing w:val="-2"/>
                <w:w w:val="110"/>
                <w:sz w:val="18"/>
                <w:szCs w:val="18"/>
                <w:lang w:val="id-ID"/>
              </w:rPr>
              <w:t>Ilegal</w:t>
            </w:r>
          </w:p>
        </w:tc>
        <w:tc>
          <w:tcPr>
            <w:tcW w:w="809" w:type="dxa"/>
          </w:tcPr>
          <w:p w14:paraId="750DE107" w14:textId="6F4E7B97" w:rsidR="00EE1324" w:rsidRPr="007F541B" w:rsidRDefault="00EE1324" w:rsidP="00500FA3">
            <w:pPr>
              <w:pStyle w:val="TableParagraph"/>
              <w:ind w:left="17" w:right="4"/>
              <w:jc w:val="center"/>
              <w:rPr>
                <w:rFonts w:ascii="Bookman Old Style" w:hAnsi="Bookman Old Style"/>
                <w:sz w:val="18"/>
                <w:szCs w:val="18"/>
                <w:lang w:val="id-ID"/>
              </w:rPr>
            </w:pPr>
            <w:r w:rsidRPr="007F541B">
              <w:rPr>
                <w:rFonts w:ascii="Bookman Old Style" w:hAnsi="Bookman Old Style"/>
                <w:spacing w:val="-5"/>
                <w:w w:val="110"/>
                <w:sz w:val="18"/>
                <w:szCs w:val="18"/>
                <w:lang w:val="id-ID"/>
              </w:rPr>
              <w:t>185</w:t>
            </w:r>
          </w:p>
        </w:tc>
        <w:tc>
          <w:tcPr>
            <w:tcW w:w="775" w:type="dxa"/>
          </w:tcPr>
          <w:p w14:paraId="307EC134" w14:textId="30E84678" w:rsidR="00EE1324" w:rsidRPr="007F541B" w:rsidRDefault="00EE1324" w:rsidP="00500FA3">
            <w:pPr>
              <w:pStyle w:val="TableParagraph"/>
              <w:ind w:left="14" w:right="4"/>
              <w:jc w:val="center"/>
              <w:rPr>
                <w:rFonts w:ascii="Bookman Old Style" w:hAnsi="Bookman Old Style"/>
                <w:sz w:val="18"/>
                <w:szCs w:val="18"/>
                <w:lang w:val="id-ID"/>
              </w:rPr>
            </w:pPr>
            <w:r w:rsidRPr="007F541B">
              <w:rPr>
                <w:rFonts w:ascii="Bookman Old Style" w:hAnsi="Bookman Old Style"/>
                <w:spacing w:val="-5"/>
                <w:w w:val="110"/>
                <w:sz w:val="18"/>
                <w:szCs w:val="18"/>
                <w:lang w:val="id-ID"/>
              </w:rPr>
              <w:t>442</w:t>
            </w:r>
          </w:p>
        </w:tc>
        <w:tc>
          <w:tcPr>
            <w:tcW w:w="773" w:type="dxa"/>
          </w:tcPr>
          <w:p w14:paraId="09C6C4E1" w14:textId="59E431C0" w:rsidR="00EE1324" w:rsidRPr="007F541B" w:rsidRDefault="00EE1324" w:rsidP="00500FA3">
            <w:pPr>
              <w:pStyle w:val="TableParagraph"/>
              <w:ind w:left="15" w:right="4"/>
              <w:jc w:val="center"/>
              <w:rPr>
                <w:rFonts w:ascii="Bookman Old Style" w:hAnsi="Bookman Old Style"/>
                <w:sz w:val="18"/>
                <w:szCs w:val="18"/>
                <w:lang w:val="id-ID"/>
              </w:rPr>
            </w:pPr>
            <w:r w:rsidRPr="007F541B">
              <w:rPr>
                <w:rFonts w:ascii="Bookman Old Style" w:hAnsi="Bookman Old Style"/>
                <w:spacing w:val="-5"/>
                <w:w w:val="110"/>
                <w:sz w:val="18"/>
                <w:szCs w:val="18"/>
                <w:lang w:val="id-ID"/>
              </w:rPr>
              <w:t>347</w:t>
            </w:r>
          </w:p>
        </w:tc>
        <w:tc>
          <w:tcPr>
            <w:tcW w:w="776" w:type="dxa"/>
          </w:tcPr>
          <w:p w14:paraId="297BAF2D" w14:textId="22556985" w:rsidR="00EE1324" w:rsidRPr="007F541B" w:rsidRDefault="00EE1324" w:rsidP="00500FA3">
            <w:pPr>
              <w:pStyle w:val="TableParagraph"/>
              <w:ind w:left="9" w:right="5"/>
              <w:jc w:val="center"/>
              <w:rPr>
                <w:rFonts w:ascii="Bookman Old Style" w:hAnsi="Bookman Old Style"/>
                <w:sz w:val="18"/>
                <w:szCs w:val="18"/>
                <w:lang w:val="id-ID"/>
              </w:rPr>
            </w:pPr>
            <w:r w:rsidRPr="007F541B">
              <w:rPr>
                <w:rFonts w:ascii="Bookman Old Style" w:hAnsi="Bookman Old Style"/>
                <w:spacing w:val="-5"/>
                <w:w w:val="110"/>
                <w:sz w:val="18"/>
                <w:szCs w:val="18"/>
                <w:lang w:val="id-ID"/>
              </w:rPr>
              <w:t>98</w:t>
            </w:r>
          </w:p>
        </w:tc>
        <w:tc>
          <w:tcPr>
            <w:tcW w:w="773" w:type="dxa"/>
          </w:tcPr>
          <w:p w14:paraId="08FC171C" w14:textId="41BDD3D4" w:rsidR="00EE1324" w:rsidRPr="007F541B" w:rsidRDefault="00EE1324" w:rsidP="00500FA3">
            <w:pPr>
              <w:pStyle w:val="TableParagraph"/>
              <w:ind w:left="15" w:right="10"/>
              <w:jc w:val="center"/>
              <w:rPr>
                <w:rFonts w:ascii="Bookman Old Style" w:hAnsi="Bookman Old Style"/>
                <w:sz w:val="18"/>
                <w:szCs w:val="18"/>
                <w:lang w:val="id-ID"/>
              </w:rPr>
            </w:pPr>
            <w:r w:rsidRPr="007F541B">
              <w:rPr>
                <w:rFonts w:ascii="Bookman Old Style" w:hAnsi="Bookman Old Style"/>
                <w:spacing w:val="-5"/>
                <w:w w:val="110"/>
                <w:sz w:val="18"/>
                <w:szCs w:val="18"/>
                <w:lang w:val="id-ID"/>
              </w:rPr>
              <w:t>106</w:t>
            </w:r>
          </w:p>
        </w:tc>
        <w:tc>
          <w:tcPr>
            <w:tcW w:w="775" w:type="dxa"/>
          </w:tcPr>
          <w:p w14:paraId="4A0F44C5" w14:textId="2A7454EB" w:rsidR="00EE1324" w:rsidRPr="007F541B" w:rsidRDefault="00EE1324" w:rsidP="00500FA3">
            <w:pPr>
              <w:pStyle w:val="TableParagraph"/>
              <w:ind w:left="14" w:right="14"/>
              <w:jc w:val="center"/>
              <w:rPr>
                <w:rFonts w:ascii="Bookman Old Style" w:hAnsi="Bookman Old Style"/>
                <w:sz w:val="18"/>
                <w:szCs w:val="18"/>
                <w:lang w:val="id-ID"/>
              </w:rPr>
            </w:pPr>
            <w:r w:rsidRPr="007F541B">
              <w:rPr>
                <w:rFonts w:ascii="Bookman Old Style" w:hAnsi="Bookman Old Style"/>
                <w:spacing w:val="-5"/>
                <w:w w:val="110"/>
                <w:sz w:val="18"/>
                <w:szCs w:val="18"/>
                <w:lang w:val="id-ID"/>
              </w:rPr>
              <w:t>40</w:t>
            </w:r>
          </w:p>
        </w:tc>
        <w:tc>
          <w:tcPr>
            <w:tcW w:w="891" w:type="dxa"/>
          </w:tcPr>
          <w:p w14:paraId="46CE0ADD" w14:textId="4BEA7A3C" w:rsidR="00EE1324" w:rsidRPr="007F541B" w:rsidRDefault="00EE1324" w:rsidP="00500FA3">
            <w:pPr>
              <w:pStyle w:val="TableParagraph"/>
              <w:ind w:left="3"/>
              <w:jc w:val="center"/>
              <w:rPr>
                <w:rFonts w:ascii="Bookman Old Style" w:hAnsi="Bookman Old Style"/>
                <w:sz w:val="18"/>
                <w:szCs w:val="18"/>
                <w:lang w:val="id-ID"/>
              </w:rPr>
            </w:pPr>
            <w:r w:rsidRPr="007F541B">
              <w:rPr>
                <w:rFonts w:ascii="Bookman Old Style" w:hAnsi="Bookman Old Style"/>
                <w:spacing w:val="-5"/>
                <w:w w:val="110"/>
                <w:sz w:val="18"/>
                <w:szCs w:val="18"/>
                <w:lang w:val="id-ID"/>
              </w:rPr>
              <w:t>310</w:t>
            </w:r>
          </w:p>
        </w:tc>
        <w:tc>
          <w:tcPr>
            <w:tcW w:w="1277" w:type="dxa"/>
          </w:tcPr>
          <w:p w14:paraId="69839D32" w14:textId="7D6038D8" w:rsidR="00EE1324" w:rsidRPr="007F541B" w:rsidRDefault="00EE1324" w:rsidP="00500FA3">
            <w:pPr>
              <w:pStyle w:val="TableParagraph"/>
              <w:ind w:left="92" w:right="1"/>
              <w:jc w:val="center"/>
              <w:rPr>
                <w:rFonts w:ascii="Bookman Old Style" w:hAnsi="Bookman Old Style"/>
                <w:sz w:val="18"/>
                <w:szCs w:val="18"/>
                <w:lang w:val="id-ID"/>
              </w:rPr>
            </w:pPr>
            <w:r w:rsidRPr="007F541B">
              <w:rPr>
                <w:rFonts w:ascii="Bookman Old Style" w:hAnsi="Bookman Old Style"/>
                <w:spacing w:val="-5"/>
                <w:w w:val="110"/>
                <w:sz w:val="18"/>
                <w:szCs w:val="18"/>
                <w:lang w:val="id-ID"/>
              </w:rPr>
              <w:t>284</w:t>
            </w:r>
          </w:p>
        </w:tc>
        <w:tc>
          <w:tcPr>
            <w:tcW w:w="913" w:type="dxa"/>
          </w:tcPr>
          <w:p w14:paraId="793269FE" w14:textId="6F71A9A2" w:rsidR="00EE1324" w:rsidRPr="007F541B" w:rsidRDefault="00EE1324" w:rsidP="00500FA3">
            <w:pPr>
              <w:pStyle w:val="TableParagraph"/>
              <w:ind w:right="1"/>
              <w:jc w:val="center"/>
              <w:rPr>
                <w:rFonts w:ascii="Bookman Old Style" w:hAnsi="Bookman Old Style"/>
                <w:sz w:val="18"/>
                <w:szCs w:val="18"/>
                <w:lang w:val="id-ID"/>
              </w:rPr>
            </w:pPr>
            <w:r w:rsidRPr="007F541B">
              <w:rPr>
                <w:rFonts w:ascii="Bookman Old Style" w:hAnsi="Bookman Old Style"/>
                <w:spacing w:val="-2"/>
                <w:w w:val="120"/>
                <w:sz w:val="18"/>
                <w:szCs w:val="18"/>
                <w:lang w:val="id-ID"/>
              </w:rPr>
              <w:t>1.812</w:t>
            </w:r>
          </w:p>
        </w:tc>
      </w:tr>
      <w:tr w:rsidR="00EE1324" w:rsidRPr="007F541B" w14:paraId="79A0C56A" w14:textId="77777777">
        <w:trPr>
          <w:gridAfter w:val="1"/>
          <w:wAfter w:w="10" w:type="dxa"/>
          <w:trHeight w:val="282"/>
        </w:trPr>
        <w:tc>
          <w:tcPr>
            <w:tcW w:w="1418" w:type="dxa"/>
          </w:tcPr>
          <w:p w14:paraId="45C116B0" w14:textId="77777777" w:rsidR="00EE1324" w:rsidRPr="007F541B" w:rsidRDefault="00EE1324" w:rsidP="00500FA3">
            <w:pPr>
              <w:pStyle w:val="TableParagraph"/>
              <w:ind w:left="100"/>
              <w:rPr>
                <w:rFonts w:ascii="Bookman Old Style" w:hAnsi="Bookman Old Style"/>
                <w:sz w:val="18"/>
                <w:szCs w:val="18"/>
                <w:lang w:val="id-ID"/>
              </w:rPr>
            </w:pPr>
            <w:r w:rsidRPr="007F541B">
              <w:rPr>
                <w:rFonts w:ascii="Bookman Old Style" w:hAnsi="Bookman Old Style"/>
                <w:w w:val="110"/>
                <w:sz w:val="18"/>
                <w:szCs w:val="18"/>
                <w:lang w:val="id-ID"/>
              </w:rPr>
              <w:t>Pinjol</w:t>
            </w:r>
            <w:r w:rsidRPr="007F541B">
              <w:rPr>
                <w:rFonts w:ascii="Bookman Old Style" w:hAnsi="Bookman Old Style"/>
                <w:spacing w:val="9"/>
                <w:w w:val="110"/>
                <w:sz w:val="18"/>
                <w:szCs w:val="18"/>
                <w:lang w:val="id-ID"/>
              </w:rPr>
              <w:t xml:space="preserve"> </w:t>
            </w:r>
            <w:r w:rsidRPr="007F541B">
              <w:rPr>
                <w:rFonts w:ascii="Bookman Old Style" w:hAnsi="Bookman Old Style"/>
                <w:spacing w:val="-2"/>
                <w:w w:val="110"/>
                <w:sz w:val="18"/>
                <w:szCs w:val="18"/>
                <w:lang w:val="id-ID"/>
              </w:rPr>
              <w:t>Ilegal</w:t>
            </w:r>
          </w:p>
        </w:tc>
        <w:tc>
          <w:tcPr>
            <w:tcW w:w="809" w:type="dxa"/>
          </w:tcPr>
          <w:p w14:paraId="1B9040B2" w14:textId="76858CBB" w:rsidR="00EE1324" w:rsidRPr="007F541B" w:rsidRDefault="00EE1324" w:rsidP="00500FA3">
            <w:pPr>
              <w:pStyle w:val="TableParagraph"/>
              <w:ind w:left="17" w:right="4"/>
              <w:jc w:val="center"/>
              <w:rPr>
                <w:rFonts w:ascii="Bookman Old Style" w:hAnsi="Bookman Old Style"/>
                <w:sz w:val="18"/>
                <w:szCs w:val="18"/>
                <w:lang w:val="id-ID"/>
              </w:rPr>
            </w:pPr>
            <w:r w:rsidRPr="007F541B">
              <w:rPr>
                <w:rFonts w:ascii="Bookman Old Style" w:hAnsi="Bookman Old Style"/>
                <w:spacing w:val="-5"/>
                <w:w w:val="110"/>
                <w:sz w:val="18"/>
                <w:szCs w:val="18"/>
                <w:lang w:val="id-ID"/>
              </w:rPr>
              <w:t>404</w:t>
            </w:r>
          </w:p>
        </w:tc>
        <w:tc>
          <w:tcPr>
            <w:tcW w:w="775" w:type="dxa"/>
          </w:tcPr>
          <w:p w14:paraId="080EAF94" w14:textId="7C74DCE3" w:rsidR="00EE1324" w:rsidRPr="007F541B" w:rsidRDefault="00EE1324" w:rsidP="00500FA3">
            <w:pPr>
              <w:pStyle w:val="TableParagraph"/>
              <w:ind w:left="14" w:right="4"/>
              <w:jc w:val="center"/>
              <w:rPr>
                <w:rFonts w:ascii="Bookman Old Style" w:hAnsi="Bookman Old Style"/>
                <w:sz w:val="18"/>
                <w:szCs w:val="18"/>
                <w:lang w:val="id-ID"/>
              </w:rPr>
            </w:pPr>
            <w:r w:rsidRPr="007F541B">
              <w:rPr>
                <w:rFonts w:ascii="Bookman Old Style" w:hAnsi="Bookman Old Style"/>
                <w:spacing w:val="-2"/>
                <w:w w:val="120"/>
                <w:sz w:val="18"/>
                <w:szCs w:val="18"/>
                <w:lang w:val="id-ID"/>
              </w:rPr>
              <w:t>1.493</w:t>
            </w:r>
          </w:p>
        </w:tc>
        <w:tc>
          <w:tcPr>
            <w:tcW w:w="773" w:type="dxa"/>
          </w:tcPr>
          <w:p w14:paraId="36727C1C" w14:textId="2A4AF384" w:rsidR="00EE1324" w:rsidRPr="007F541B" w:rsidRDefault="00EE1324" w:rsidP="00500FA3">
            <w:pPr>
              <w:pStyle w:val="TableParagraph"/>
              <w:ind w:left="15" w:right="5"/>
              <w:jc w:val="center"/>
              <w:rPr>
                <w:rFonts w:ascii="Bookman Old Style" w:hAnsi="Bookman Old Style"/>
                <w:sz w:val="18"/>
                <w:szCs w:val="18"/>
                <w:lang w:val="id-ID"/>
              </w:rPr>
            </w:pPr>
            <w:r w:rsidRPr="007F541B">
              <w:rPr>
                <w:rFonts w:ascii="Bookman Old Style" w:hAnsi="Bookman Old Style"/>
                <w:spacing w:val="-2"/>
                <w:w w:val="120"/>
                <w:sz w:val="18"/>
                <w:szCs w:val="18"/>
                <w:lang w:val="id-ID"/>
              </w:rPr>
              <w:t>1.026</w:t>
            </w:r>
          </w:p>
        </w:tc>
        <w:tc>
          <w:tcPr>
            <w:tcW w:w="776" w:type="dxa"/>
          </w:tcPr>
          <w:p w14:paraId="6110129D" w14:textId="186CDCF5" w:rsidR="00EE1324" w:rsidRPr="007F541B" w:rsidRDefault="00EE1324" w:rsidP="00500FA3">
            <w:pPr>
              <w:pStyle w:val="TableParagraph"/>
              <w:ind w:left="9" w:right="4"/>
              <w:jc w:val="center"/>
              <w:rPr>
                <w:rFonts w:ascii="Bookman Old Style" w:hAnsi="Bookman Old Style"/>
                <w:sz w:val="18"/>
                <w:szCs w:val="18"/>
                <w:lang w:val="id-ID"/>
              </w:rPr>
            </w:pPr>
            <w:r w:rsidRPr="007F541B">
              <w:rPr>
                <w:rFonts w:ascii="Bookman Old Style" w:hAnsi="Bookman Old Style"/>
                <w:spacing w:val="-5"/>
                <w:w w:val="110"/>
                <w:sz w:val="18"/>
                <w:szCs w:val="18"/>
                <w:lang w:val="id-ID"/>
              </w:rPr>
              <w:t>811</w:t>
            </w:r>
          </w:p>
        </w:tc>
        <w:tc>
          <w:tcPr>
            <w:tcW w:w="773" w:type="dxa"/>
          </w:tcPr>
          <w:p w14:paraId="40A70613" w14:textId="236559DA" w:rsidR="00EE1324" w:rsidRPr="007F541B" w:rsidRDefault="00EE1324" w:rsidP="00500FA3">
            <w:pPr>
              <w:pStyle w:val="TableParagraph"/>
              <w:ind w:left="15" w:right="10"/>
              <w:jc w:val="center"/>
              <w:rPr>
                <w:rFonts w:ascii="Bookman Old Style" w:hAnsi="Bookman Old Style"/>
                <w:sz w:val="18"/>
                <w:szCs w:val="18"/>
                <w:lang w:val="id-ID"/>
              </w:rPr>
            </w:pPr>
            <w:r w:rsidRPr="007F541B">
              <w:rPr>
                <w:rFonts w:ascii="Bookman Old Style" w:hAnsi="Bookman Old Style"/>
                <w:spacing w:val="-5"/>
                <w:w w:val="110"/>
                <w:sz w:val="18"/>
                <w:szCs w:val="18"/>
                <w:lang w:val="id-ID"/>
              </w:rPr>
              <w:t>698</w:t>
            </w:r>
          </w:p>
        </w:tc>
        <w:tc>
          <w:tcPr>
            <w:tcW w:w="775" w:type="dxa"/>
          </w:tcPr>
          <w:p w14:paraId="62A0D61A" w14:textId="0234D88A" w:rsidR="00EE1324" w:rsidRPr="007F541B" w:rsidRDefault="00EE1324" w:rsidP="00500FA3">
            <w:pPr>
              <w:pStyle w:val="TableParagraph"/>
              <w:ind w:left="14" w:right="13"/>
              <w:jc w:val="center"/>
              <w:rPr>
                <w:rFonts w:ascii="Bookman Old Style" w:hAnsi="Bookman Old Style"/>
                <w:sz w:val="18"/>
                <w:szCs w:val="18"/>
                <w:lang w:val="id-ID"/>
              </w:rPr>
            </w:pPr>
            <w:r w:rsidRPr="007F541B">
              <w:rPr>
                <w:rFonts w:ascii="Bookman Old Style" w:hAnsi="Bookman Old Style"/>
                <w:spacing w:val="-2"/>
                <w:w w:val="120"/>
                <w:sz w:val="18"/>
                <w:szCs w:val="18"/>
                <w:lang w:val="id-ID"/>
              </w:rPr>
              <w:t>2.248</w:t>
            </w:r>
          </w:p>
        </w:tc>
        <w:tc>
          <w:tcPr>
            <w:tcW w:w="891" w:type="dxa"/>
          </w:tcPr>
          <w:p w14:paraId="4F427D0F" w14:textId="4063DF87" w:rsidR="00EE1324" w:rsidRPr="007F541B" w:rsidRDefault="00EE1324" w:rsidP="00500FA3">
            <w:pPr>
              <w:pStyle w:val="TableParagraph"/>
              <w:ind w:left="3"/>
              <w:jc w:val="center"/>
              <w:rPr>
                <w:rFonts w:ascii="Bookman Old Style" w:hAnsi="Bookman Old Style"/>
                <w:sz w:val="18"/>
                <w:szCs w:val="18"/>
                <w:lang w:val="id-ID"/>
              </w:rPr>
            </w:pPr>
            <w:r w:rsidRPr="007F541B">
              <w:rPr>
                <w:rFonts w:ascii="Bookman Old Style" w:hAnsi="Bookman Old Style"/>
                <w:spacing w:val="-2"/>
                <w:w w:val="120"/>
                <w:sz w:val="18"/>
                <w:szCs w:val="18"/>
                <w:lang w:val="id-ID"/>
              </w:rPr>
              <w:t>2.930</w:t>
            </w:r>
          </w:p>
        </w:tc>
        <w:tc>
          <w:tcPr>
            <w:tcW w:w="1277" w:type="dxa"/>
          </w:tcPr>
          <w:p w14:paraId="44C48B94" w14:textId="52831D21" w:rsidR="00EE1324" w:rsidRPr="007F541B" w:rsidRDefault="00EE1324" w:rsidP="00500FA3">
            <w:pPr>
              <w:pStyle w:val="TableParagraph"/>
              <w:ind w:left="91" w:right="1"/>
              <w:jc w:val="center"/>
              <w:rPr>
                <w:rFonts w:ascii="Bookman Old Style" w:hAnsi="Bookman Old Style"/>
                <w:sz w:val="18"/>
                <w:szCs w:val="18"/>
                <w:lang w:val="id-ID"/>
              </w:rPr>
            </w:pPr>
            <w:r w:rsidRPr="007F541B">
              <w:rPr>
                <w:rFonts w:ascii="Bookman Old Style" w:hAnsi="Bookman Old Style"/>
                <w:spacing w:val="-2"/>
                <w:w w:val="120"/>
                <w:sz w:val="18"/>
                <w:szCs w:val="18"/>
                <w:lang w:val="id-ID"/>
              </w:rPr>
              <w:t>1.556</w:t>
            </w:r>
          </w:p>
        </w:tc>
        <w:tc>
          <w:tcPr>
            <w:tcW w:w="913" w:type="dxa"/>
          </w:tcPr>
          <w:p w14:paraId="432B9285" w14:textId="0B0158BA" w:rsidR="00EE1324" w:rsidRPr="007F541B" w:rsidRDefault="00EE1324" w:rsidP="00500FA3">
            <w:pPr>
              <w:pStyle w:val="TableParagraph"/>
              <w:ind w:right="1"/>
              <w:jc w:val="center"/>
              <w:rPr>
                <w:rFonts w:ascii="Bookman Old Style" w:hAnsi="Bookman Old Style"/>
                <w:sz w:val="18"/>
                <w:szCs w:val="18"/>
                <w:lang w:val="id-ID"/>
              </w:rPr>
            </w:pPr>
            <w:r w:rsidRPr="007F541B">
              <w:rPr>
                <w:rFonts w:ascii="Bookman Old Style" w:hAnsi="Bookman Old Style"/>
                <w:spacing w:val="-2"/>
                <w:w w:val="120"/>
                <w:sz w:val="18"/>
                <w:szCs w:val="18"/>
                <w:lang w:val="id-ID"/>
              </w:rPr>
              <w:t>11.166</w:t>
            </w:r>
          </w:p>
        </w:tc>
      </w:tr>
      <w:tr w:rsidR="00EE1324" w:rsidRPr="007F541B" w14:paraId="617E0290" w14:textId="77777777">
        <w:trPr>
          <w:gridAfter w:val="1"/>
          <w:wAfter w:w="10" w:type="dxa"/>
          <w:trHeight w:val="282"/>
        </w:trPr>
        <w:tc>
          <w:tcPr>
            <w:tcW w:w="1418" w:type="dxa"/>
          </w:tcPr>
          <w:p w14:paraId="27C27031" w14:textId="77777777" w:rsidR="00EE1324" w:rsidRPr="007F541B" w:rsidRDefault="00EE1324" w:rsidP="00500FA3">
            <w:pPr>
              <w:pStyle w:val="TableParagraph"/>
              <w:ind w:left="100"/>
              <w:rPr>
                <w:rFonts w:ascii="Bookman Old Style" w:hAnsi="Bookman Old Style"/>
                <w:sz w:val="18"/>
                <w:szCs w:val="18"/>
                <w:lang w:val="id-ID"/>
              </w:rPr>
            </w:pPr>
            <w:r w:rsidRPr="007F541B">
              <w:rPr>
                <w:rFonts w:ascii="Bookman Old Style" w:hAnsi="Bookman Old Style"/>
                <w:w w:val="115"/>
                <w:sz w:val="18"/>
                <w:szCs w:val="18"/>
                <w:lang w:val="id-ID"/>
              </w:rPr>
              <w:t>Gadai</w:t>
            </w:r>
            <w:r w:rsidRPr="007F541B">
              <w:rPr>
                <w:rFonts w:ascii="Bookman Old Style" w:hAnsi="Bookman Old Style"/>
                <w:spacing w:val="26"/>
                <w:w w:val="115"/>
                <w:sz w:val="18"/>
                <w:szCs w:val="18"/>
                <w:lang w:val="id-ID"/>
              </w:rPr>
              <w:t xml:space="preserve"> </w:t>
            </w:r>
            <w:r w:rsidRPr="007F541B">
              <w:rPr>
                <w:rFonts w:ascii="Bookman Old Style" w:hAnsi="Bookman Old Style"/>
                <w:spacing w:val="-2"/>
                <w:w w:val="115"/>
                <w:sz w:val="18"/>
                <w:szCs w:val="18"/>
                <w:lang w:val="id-ID"/>
              </w:rPr>
              <w:t>Ilegal</w:t>
            </w:r>
          </w:p>
        </w:tc>
        <w:tc>
          <w:tcPr>
            <w:tcW w:w="809" w:type="dxa"/>
          </w:tcPr>
          <w:p w14:paraId="6956C4DD" w14:textId="4DB593F6" w:rsidR="00EE1324" w:rsidRPr="007F541B" w:rsidRDefault="00EE1324" w:rsidP="00500FA3">
            <w:pPr>
              <w:pStyle w:val="TableParagraph"/>
              <w:ind w:left="17" w:right="1"/>
              <w:jc w:val="center"/>
              <w:rPr>
                <w:rFonts w:ascii="Bookman Old Style" w:hAnsi="Bookman Old Style"/>
                <w:sz w:val="18"/>
                <w:szCs w:val="18"/>
                <w:lang w:val="id-ID"/>
              </w:rPr>
            </w:pPr>
            <w:r w:rsidRPr="007F541B">
              <w:rPr>
                <w:rFonts w:ascii="Bookman Old Style" w:hAnsi="Bookman Old Style"/>
                <w:spacing w:val="-10"/>
                <w:w w:val="110"/>
                <w:sz w:val="18"/>
                <w:szCs w:val="18"/>
                <w:lang w:val="id-ID"/>
              </w:rPr>
              <w:t>0</w:t>
            </w:r>
          </w:p>
        </w:tc>
        <w:tc>
          <w:tcPr>
            <w:tcW w:w="775" w:type="dxa"/>
          </w:tcPr>
          <w:p w14:paraId="40CB53E9" w14:textId="49FA2DA4" w:rsidR="00EE1324" w:rsidRPr="007F541B" w:rsidRDefault="00EE1324" w:rsidP="00500FA3">
            <w:pPr>
              <w:pStyle w:val="TableParagraph"/>
              <w:ind w:left="14" w:right="5"/>
              <w:jc w:val="center"/>
              <w:rPr>
                <w:rFonts w:ascii="Bookman Old Style" w:hAnsi="Bookman Old Style"/>
                <w:sz w:val="18"/>
                <w:szCs w:val="18"/>
                <w:lang w:val="id-ID"/>
              </w:rPr>
            </w:pPr>
            <w:r w:rsidRPr="007F541B">
              <w:rPr>
                <w:rFonts w:ascii="Bookman Old Style" w:hAnsi="Bookman Old Style"/>
                <w:spacing w:val="-5"/>
                <w:w w:val="110"/>
                <w:sz w:val="18"/>
                <w:szCs w:val="18"/>
                <w:lang w:val="id-ID"/>
              </w:rPr>
              <w:t>68</w:t>
            </w:r>
          </w:p>
        </w:tc>
        <w:tc>
          <w:tcPr>
            <w:tcW w:w="773" w:type="dxa"/>
          </w:tcPr>
          <w:p w14:paraId="535EF4A0" w14:textId="1DB5CE49" w:rsidR="00EE1324" w:rsidRPr="007F541B" w:rsidRDefault="00EE1324" w:rsidP="00500FA3">
            <w:pPr>
              <w:pStyle w:val="TableParagraph"/>
              <w:ind w:left="15" w:right="5"/>
              <w:jc w:val="center"/>
              <w:rPr>
                <w:rFonts w:ascii="Bookman Old Style" w:hAnsi="Bookman Old Style"/>
                <w:sz w:val="18"/>
                <w:szCs w:val="18"/>
                <w:lang w:val="id-ID"/>
              </w:rPr>
            </w:pPr>
            <w:r w:rsidRPr="007F541B">
              <w:rPr>
                <w:rFonts w:ascii="Bookman Old Style" w:hAnsi="Bookman Old Style"/>
                <w:spacing w:val="-5"/>
                <w:w w:val="110"/>
                <w:sz w:val="18"/>
                <w:szCs w:val="18"/>
                <w:lang w:val="id-ID"/>
              </w:rPr>
              <w:t>75</w:t>
            </w:r>
          </w:p>
        </w:tc>
        <w:tc>
          <w:tcPr>
            <w:tcW w:w="776" w:type="dxa"/>
          </w:tcPr>
          <w:p w14:paraId="7CDB75F0" w14:textId="62B79AF6" w:rsidR="00EE1324" w:rsidRPr="007F541B" w:rsidRDefault="00EE1324" w:rsidP="00500FA3">
            <w:pPr>
              <w:pStyle w:val="TableParagraph"/>
              <w:ind w:left="9" w:right="5"/>
              <w:jc w:val="center"/>
              <w:rPr>
                <w:rFonts w:ascii="Bookman Old Style" w:hAnsi="Bookman Old Style"/>
                <w:sz w:val="18"/>
                <w:szCs w:val="18"/>
                <w:lang w:val="id-ID"/>
              </w:rPr>
            </w:pPr>
            <w:r w:rsidRPr="007F541B">
              <w:rPr>
                <w:rFonts w:ascii="Bookman Old Style" w:hAnsi="Bookman Old Style"/>
                <w:spacing w:val="-5"/>
                <w:w w:val="110"/>
                <w:sz w:val="18"/>
                <w:szCs w:val="18"/>
                <w:lang w:val="id-ID"/>
              </w:rPr>
              <w:t>17</w:t>
            </w:r>
          </w:p>
        </w:tc>
        <w:tc>
          <w:tcPr>
            <w:tcW w:w="773" w:type="dxa"/>
          </w:tcPr>
          <w:p w14:paraId="0A4873E6" w14:textId="38C0C468" w:rsidR="00EE1324" w:rsidRPr="007F541B" w:rsidRDefault="00EE1324" w:rsidP="00500FA3">
            <w:pPr>
              <w:pStyle w:val="TableParagraph"/>
              <w:ind w:left="15" w:right="10"/>
              <w:jc w:val="center"/>
              <w:rPr>
                <w:rFonts w:ascii="Bookman Old Style" w:hAnsi="Bookman Old Style"/>
                <w:sz w:val="18"/>
                <w:szCs w:val="18"/>
                <w:lang w:val="id-ID"/>
              </w:rPr>
            </w:pPr>
            <w:r w:rsidRPr="007F541B">
              <w:rPr>
                <w:rFonts w:ascii="Bookman Old Style" w:hAnsi="Bookman Old Style"/>
                <w:spacing w:val="-5"/>
                <w:w w:val="110"/>
                <w:sz w:val="18"/>
                <w:szCs w:val="18"/>
                <w:lang w:val="id-ID"/>
              </w:rPr>
              <w:t>91</w:t>
            </w:r>
          </w:p>
        </w:tc>
        <w:tc>
          <w:tcPr>
            <w:tcW w:w="775" w:type="dxa"/>
          </w:tcPr>
          <w:p w14:paraId="1892EDD6" w14:textId="563B98FB" w:rsidR="00EE1324" w:rsidRPr="007F541B" w:rsidRDefault="00EE1324" w:rsidP="00500FA3">
            <w:pPr>
              <w:pStyle w:val="TableParagraph"/>
              <w:ind w:left="14" w:right="10"/>
              <w:jc w:val="center"/>
              <w:rPr>
                <w:rFonts w:ascii="Bookman Old Style" w:hAnsi="Bookman Old Style"/>
                <w:sz w:val="18"/>
                <w:szCs w:val="18"/>
                <w:lang w:val="id-ID"/>
              </w:rPr>
            </w:pPr>
            <w:r w:rsidRPr="007F541B">
              <w:rPr>
                <w:rFonts w:ascii="Bookman Old Style" w:hAnsi="Bookman Old Style"/>
                <w:spacing w:val="-10"/>
                <w:w w:val="110"/>
                <w:sz w:val="18"/>
                <w:szCs w:val="18"/>
                <w:lang w:val="id-ID"/>
              </w:rPr>
              <w:t>0</w:t>
            </w:r>
          </w:p>
        </w:tc>
        <w:tc>
          <w:tcPr>
            <w:tcW w:w="891" w:type="dxa"/>
          </w:tcPr>
          <w:p w14:paraId="57BAF5D2" w14:textId="4768AECC" w:rsidR="00EE1324" w:rsidRPr="007F541B" w:rsidRDefault="00EE1324" w:rsidP="00500FA3">
            <w:pPr>
              <w:pStyle w:val="TableParagraph"/>
              <w:ind w:left="3" w:right="1"/>
              <w:jc w:val="center"/>
              <w:rPr>
                <w:rFonts w:ascii="Bookman Old Style" w:hAnsi="Bookman Old Style"/>
                <w:sz w:val="18"/>
                <w:szCs w:val="18"/>
                <w:lang w:val="id-ID"/>
              </w:rPr>
            </w:pPr>
            <w:r w:rsidRPr="007F541B">
              <w:rPr>
                <w:rFonts w:ascii="Bookman Old Style" w:hAnsi="Bookman Old Style"/>
                <w:spacing w:val="-10"/>
                <w:w w:val="110"/>
                <w:sz w:val="18"/>
                <w:szCs w:val="18"/>
                <w:lang w:val="id-ID"/>
              </w:rPr>
              <w:t>0</w:t>
            </w:r>
          </w:p>
        </w:tc>
        <w:tc>
          <w:tcPr>
            <w:tcW w:w="1277" w:type="dxa"/>
          </w:tcPr>
          <w:p w14:paraId="3A755347" w14:textId="1606AB3E" w:rsidR="00EE1324" w:rsidRPr="007F541B" w:rsidRDefault="00EE1324" w:rsidP="00500FA3">
            <w:pPr>
              <w:pStyle w:val="TableParagraph"/>
              <w:ind w:left="91" w:right="3"/>
              <w:jc w:val="center"/>
              <w:rPr>
                <w:rFonts w:ascii="Bookman Old Style" w:hAnsi="Bookman Old Style"/>
                <w:sz w:val="18"/>
                <w:szCs w:val="18"/>
                <w:lang w:val="id-ID"/>
              </w:rPr>
            </w:pPr>
            <w:r w:rsidRPr="007F541B">
              <w:rPr>
                <w:rFonts w:ascii="Bookman Old Style" w:hAnsi="Bookman Old Style"/>
                <w:spacing w:val="-10"/>
                <w:w w:val="110"/>
                <w:sz w:val="18"/>
                <w:szCs w:val="18"/>
                <w:lang w:val="id-ID"/>
              </w:rPr>
              <w:t>0</w:t>
            </w:r>
          </w:p>
        </w:tc>
        <w:tc>
          <w:tcPr>
            <w:tcW w:w="913" w:type="dxa"/>
          </w:tcPr>
          <w:p w14:paraId="4208AA67" w14:textId="18E428EA" w:rsidR="00EE1324" w:rsidRPr="007F541B" w:rsidRDefault="00EE1324" w:rsidP="00500FA3">
            <w:pPr>
              <w:pStyle w:val="TableParagraph"/>
              <w:ind w:right="1"/>
              <w:jc w:val="center"/>
              <w:rPr>
                <w:rFonts w:ascii="Bookman Old Style" w:hAnsi="Bookman Old Style"/>
                <w:sz w:val="18"/>
                <w:szCs w:val="18"/>
                <w:lang w:val="id-ID"/>
              </w:rPr>
            </w:pPr>
            <w:r w:rsidRPr="007F541B">
              <w:rPr>
                <w:rFonts w:ascii="Bookman Old Style" w:hAnsi="Bookman Old Style"/>
                <w:spacing w:val="-5"/>
                <w:w w:val="110"/>
                <w:sz w:val="18"/>
                <w:szCs w:val="18"/>
                <w:lang w:val="id-ID"/>
              </w:rPr>
              <w:t>251</w:t>
            </w:r>
          </w:p>
        </w:tc>
      </w:tr>
      <w:tr w:rsidR="00EE1324" w:rsidRPr="007F541B" w14:paraId="0A9BAAED" w14:textId="77777777">
        <w:trPr>
          <w:gridAfter w:val="1"/>
          <w:wAfter w:w="10" w:type="dxa"/>
          <w:trHeight w:val="282"/>
        </w:trPr>
        <w:tc>
          <w:tcPr>
            <w:tcW w:w="1418" w:type="dxa"/>
            <w:shd w:val="clear" w:color="auto" w:fill="F1F1F1"/>
          </w:tcPr>
          <w:p w14:paraId="3A3543A7" w14:textId="77777777" w:rsidR="00EE1324" w:rsidRPr="007F541B" w:rsidRDefault="00EE1324" w:rsidP="00500FA3">
            <w:pPr>
              <w:pStyle w:val="TableParagraph"/>
              <w:ind w:left="100"/>
              <w:rPr>
                <w:rFonts w:ascii="Bookman Old Style" w:hAnsi="Bookman Old Style"/>
                <w:b/>
                <w:sz w:val="18"/>
                <w:szCs w:val="18"/>
                <w:lang w:val="id-ID"/>
              </w:rPr>
            </w:pPr>
            <w:r w:rsidRPr="007F541B">
              <w:rPr>
                <w:rFonts w:ascii="Bookman Old Style" w:hAnsi="Bookman Old Style"/>
                <w:b/>
                <w:spacing w:val="-2"/>
                <w:w w:val="110"/>
                <w:sz w:val="18"/>
                <w:szCs w:val="18"/>
                <w:lang w:val="id-ID"/>
              </w:rPr>
              <w:t>Total</w:t>
            </w:r>
          </w:p>
        </w:tc>
        <w:tc>
          <w:tcPr>
            <w:tcW w:w="809" w:type="dxa"/>
            <w:shd w:val="clear" w:color="auto" w:fill="F1F1F1"/>
          </w:tcPr>
          <w:p w14:paraId="28712261" w14:textId="0402661D" w:rsidR="00EE1324" w:rsidRPr="007F541B" w:rsidRDefault="00EE1324" w:rsidP="00500FA3">
            <w:pPr>
              <w:pStyle w:val="TableParagraph"/>
              <w:ind w:left="17" w:right="2"/>
              <w:jc w:val="center"/>
              <w:rPr>
                <w:rFonts w:ascii="Bookman Old Style" w:hAnsi="Bookman Old Style"/>
                <w:b/>
                <w:sz w:val="18"/>
                <w:szCs w:val="18"/>
                <w:lang w:val="id-ID"/>
              </w:rPr>
            </w:pPr>
            <w:r w:rsidRPr="007F541B">
              <w:rPr>
                <w:rFonts w:ascii="Bookman Old Style" w:hAnsi="Bookman Old Style"/>
                <w:b/>
                <w:bCs/>
                <w:spacing w:val="-5"/>
                <w:w w:val="110"/>
                <w:sz w:val="18"/>
                <w:szCs w:val="18"/>
                <w:lang w:val="id-ID"/>
              </w:rPr>
              <w:t>589</w:t>
            </w:r>
          </w:p>
        </w:tc>
        <w:tc>
          <w:tcPr>
            <w:tcW w:w="775" w:type="dxa"/>
            <w:shd w:val="clear" w:color="auto" w:fill="F1F1F1"/>
          </w:tcPr>
          <w:p w14:paraId="1740AC5F" w14:textId="6B14167D" w:rsidR="00EE1324" w:rsidRPr="007F541B" w:rsidRDefault="00EE1324" w:rsidP="00500FA3">
            <w:pPr>
              <w:pStyle w:val="TableParagraph"/>
              <w:ind w:left="14" w:right="1"/>
              <w:jc w:val="center"/>
              <w:rPr>
                <w:rFonts w:ascii="Bookman Old Style" w:hAnsi="Bookman Old Style"/>
                <w:b/>
                <w:sz w:val="18"/>
                <w:szCs w:val="18"/>
                <w:lang w:val="id-ID"/>
              </w:rPr>
            </w:pPr>
            <w:r w:rsidRPr="007F541B">
              <w:rPr>
                <w:rFonts w:ascii="Bookman Old Style" w:hAnsi="Bookman Old Style"/>
                <w:b/>
                <w:bCs/>
                <w:spacing w:val="-2"/>
                <w:w w:val="115"/>
                <w:sz w:val="18"/>
                <w:szCs w:val="18"/>
                <w:lang w:val="id-ID"/>
              </w:rPr>
              <w:t>2.003</w:t>
            </w:r>
          </w:p>
        </w:tc>
        <w:tc>
          <w:tcPr>
            <w:tcW w:w="773" w:type="dxa"/>
            <w:shd w:val="clear" w:color="auto" w:fill="F1F1F1"/>
          </w:tcPr>
          <w:p w14:paraId="272176C7" w14:textId="7CAF9CD6" w:rsidR="00EE1324" w:rsidRPr="007F541B" w:rsidRDefault="00EE1324" w:rsidP="00500FA3">
            <w:pPr>
              <w:pStyle w:val="TableParagraph"/>
              <w:ind w:left="15" w:right="1"/>
              <w:jc w:val="center"/>
              <w:rPr>
                <w:rFonts w:ascii="Bookman Old Style" w:hAnsi="Bookman Old Style"/>
                <w:b/>
                <w:sz w:val="18"/>
                <w:szCs w:val="18"/>
                <w:lang w:val="id-ID"/>
              </w:rPr>
            </w:pPr>
            <w:r w:rsidRPr="007F541B">
              <w:rPr>
                <w:rFonts w:ascii="Bookman Old Style" w:hAnsi="Bookman Old Style"/>
                <w:b/>
                <w:bCs/>
                <w:spacing w:val="-2"/>
                <w:w w:val="115"/>
                <w:sz w:val="18"/>
                <w:szCs w:val="18"/>
                <w:lang w:val="id-ID"/>
              </w:rPr>
              <w:t>1.448</w:t>
            </w:r>
          </w:p>
        </w:tc>
        <w:tc>
          <w:tcPr>
            <w:tcW w:w="776" w:type="dxa"/>
            <w:shd w:val="clear" w:color="auto" w:fill="F1F1F1"/>
          </w:tcPr>
          <w:p w14:paraId="49D687F5" w14:textId="7820BF71" w:rsidR="00EE1324" w:rsidRPr="007F541B" w:rsidRDefault="00EE1324" w:rsidP="00500FA3">
            <w:pPr>
              <w:pStyle w:val="TableParagraph"/>
              <w:ind w:left="9" w:right="2"/>
              <w:jc w:val="center"/>
              <w:rPr>
                <w:rFonts w:ascii="Bookman Old Style" w:hAnsi="Bookman Old Style"/>
                <w:b/>
                <w:sz w:val="18"/>
                <w:szCs w:val="18"/>
                <w:lang w:val="id-ID"/>
              </w:rPr>
            </w:pPr>
            <w:r w:rsidRPr="007F541B">
              <w:rPr>
                <w:rFonts w:ascii="Bookman Old Style" w:hAnsi="Bookman Old Style"/>
                <w:b/>
                <w:bCs/>
                <w:spacing w:val="-5"/>
                <w:w w:val="110"/>
                <w:sz w:val="18"/>
                <w:szCs w:val="18"/>
                <w:lang w:val="id-ID"/>
              </w:rPr>
              <w:t>926</w:t>
            </w:r>
          </w:p>
        </w:tc>
        <w:tc>
          <w:tcPr>
            <w:tcW w:w="773" w:type="dxa"/>
            <w:shd w:val="clear" w:color="auto" w:fill="F1F1F1"/>
          </w:tcPr>
          <w:p w14:paraId="462AAFC6" w14:textId="1B5D3C14" w:rsidR="00EE1324" w:rsidRPr="007F541B" w:rsidRDefault="00EE1324" w:rsidP="00500FA3">
            <w:pPr>
              <w:pStyle w:val="TableParagraph"/>
              <w:ind w:left="15" w:right="8"/>
              <w:jc w:val="center"/>
              <w:rPr>
                <w:rFonts w:ascii="Bookman Old Style" w:hAnsi="Bookman Old Style"/>
                <w:b/>
                <w:sz w:val="18"/>
                <w:szCs w:val="18"/>
                <w:lang w:val="id-ID"/>
              </w:rPr>
            </w:pPr>
            <w:r w:rsidRPr="007F541B">
              <w:rPr>
                <w:rFonts w:ascii="Bookman Old Style" w:hAnsi="Bookman Old Style"/>
                <w:b/>
                <w:bCs/>
                <w:spacing w:val="-5"/>
                <w:w w:val="110"/>
                <w:sz w:val="18"/>
                <w:szCs w:val="18"/>
                <w:lang w:val="id-ID"/>
              </w:rPr>
              <w:t>895</w:t>
            </w:r>
          </w:p>
        </w:tc>
        <w:tc>
          <w:tcPr>
            <w:tcW w:w="775" w:type="dxa"/>
            <w:shd w:val="clear" w:color="auto" w:fill="F1F1F1"/>
          </w:tcPr>
          <w:p w14:paraId="6EA61CBD" w14:textId="62D67FA4" w:rsidR="00EE1324" w:rsidRPr="007F541B" w:rsidRDefault="00EE1324" w:rsidP="00500FA3">
            <w:pPr>
              <w:pStyle w:val="TableParagraph"/>
              <w:ind w:left="14" w:right="10"/>
              <w:jc w:val="center"/>
              <w:rPr>
                <w:rFonts w:ascii="Bookman Old Style" w:hAnsi="Bookman Old Style"/>
                <w:b/>
                <w:sz w:val="18"/>
                <w:szCs w:val="18"/>
                <w:lang w:val="id-ID"/>
              </w:rPr>
            </w:pPr>
            <w:r w:rsidRPr="007F541B">
              <w:rPr>
                <w:rFonts w:ascii="Bookman Old Style" w:hAnsi="Bookman Old Style"/>
                <w:b/>
                <w:bCs/>
                <w:spacing w:val="-2"/>
                <w:w w:val="115"/>
                <w:sz w:val="18"/>
                <w:szCs w:val="18"/>
                <w:lang w:val="id-ID"/>
              </w:rPr>
              <w:t>2.288</w:t>
            </w:r>
          </w:p>
        </w:tc>
        <w:tc>
          <w:tcPr>
            <w:tcW w:w="891" w:type="dxa"/>
            <w:shd w:val="clear" w:color="auto" w:fill="F1F1F1"/>
          </w:tcPr>
          <w:p w14:paraId="75A96862" w14:textId="59EB8F24" w:rsidR="00EE1324" w:rsidRPr="007F541B" w:rsidRDefault="00EE1324" w:rsidP="00500FA3">
            <w:pPr>
              <w:pStyle w:val="TableParagraph"/>
              <w:ind w:left="3" w:right="1"/>
              <w:jc w:val="center"/>
              <w:rPr>
                <w:rFonts w:ascii="Bookman Old Style" w:hAnsi="Bookman Old Style"/>
                <w:b/>
                <w:sz w:val="18"/>
                <w:szCs w:val="18"/>
                <w:lang w:val="id-ID"/>
              </w:rPr>
            </w:pPr>
            <w:r w:rsidRPr="007F541B">
              <w:rPr>
                <w:rFonts w:ascii="Bookman Old Style" w:hAnsi="Bookman Old Style"/>
                <w:b/>
                <w:bCs/>
                <w:spacing w:val="-2"/>
                <w:w w:val="115"/>
                <w:sz w:val="18"/>
                <w:szCs w:val="18"/>
                <w:lang w:val="id-ID"/>
              </w:rPr>
              <w:t>3.240</w:t>
            </w:r>
          </w:p>
        </w:tc>
        <w:tc>
          <w:tcPr>
            <w:tcW w:w="1277" w:type="dxa"/>
            <w:shd w:val="clear" w:color="auto" w:fill="F1F1F1"/>
          </w:tcPr>
          <w:p w14:paraId="7F165CD3" w14:textId="3CDF4CBE" w:rsidR="00EE1324" w:rsidRPr="007F541B" w:rsidRDefault="00EE1324" w:rsidP="00500FA3">
            <w:pPr>
              <w:pStyle w:val="TableParagraph"/>
              <w:ind w:left="91" w:right="2"/>
              <w:jc w:val="center"/>
              <w:rPr>
                <w:rFonts w:ascii="Bookman Old Style" w:hAnsi="Bookman Old Style"/>
                <w:b/>
                <w:sz w:val="18"/>
                <w:szCs w:val="18"/>
                <w:lang w:val="id-ID"/>
              </w:rPr>
            </w:pPr>
            <w:r w:rsidRPr="007F541B">
              <w:rPr>
                <w:rFonts w:ascii="Bookman Old Style" w:hAnsi="Bookman Old Style"/>
                <w:b/>
                <w:bCs/>
                <w:spacing w:val="-2"/>
                <w:w w:val="115"/>
                <w:sz w:val="18"/>
                <w:szCs w:val="18"/>
                <w:lang w:val="id-ID"/>
              </w:rPr>
              <w:t>1.840</w:t>
            </w:r>
          </w:p>
        </w:tc>
        <w:tc>
          <w:tcPr>
            <w:tcW w:w="913" w:type="dxa"/>
            <w:shd w:val="clear" w:color="auto" w:fill="F1F1F1"/>
          </w:tcPr>
          <w:p w14:paraId="17F41A25" w14:textId="5D8FE7BE" w:rsidR="00EE1324" w:rsidRPr="007F541B" w:rsidRDefault="00EE1324" w:rsidP="00500FA3">
            <w:pPr>
              <w:pStyle w:val="TableParagraph"/>
              <w:ind w:left="65" w:right="1"/>
              <w:jc w:val="center"/>
              <w:rPr>
                <w:rFonts w:ascii="Bookman Old Style" w:hAnsi="Bookman Old Style"/>
                <w:b/>
                <w:sz w:val="18"/>
                <w:szCs w:val="18"/>
                <w:lang w:val="id-ID"/>
              </w:rPr>
            </w:pPr>
            <w:r w:rsidRPr="007F541B">
              <w:rPr>
                <w:rFonts w:ascii="Bookman Old Style" w:hAnsi="Bookman Old Style"/>
                <w:b/>
                <w:bCs/>
                <w:spacing w:val="-2"/>
                <w:w w:val="115"/>
                <w:sz w:val="18"/>
                <w:szCs w:val="18"/>
                <w:lang w:val="id-ID"/>
              </w:rPr>
              <w:t>13.228</w:t>
            </w:r>
          </w:p>
        </w:tc>
      </w:tr>
    </w:tbl>
    <w:p w14:paraId="10F90364" w14:textId="484FBA6E" w:rsidR="00DB5475" w:rsidRPr="007F541B" w:rsidRDefault="00DB5475" w:rsidP="00D6168E">
      <w:pPr>
        <w:pStyle w:val="BodyText"/>
        <w:spacing w:before="120" w:line="264" w:lineRule="auto"/>
        <w:ind w:right="-45"/>
        <w:rPr>
          <w:rFonts w:ascii="Bookman Old Style" w:hAnsi="Bookman Old Style"/>
          <w:lang w:val="id-ID"/>
        </w:rPr>
      </w:pPr>
      <w:r w:rsidRPr="00A428BB">
        <w:rPr>
          <w:rFonts w:ascii="Bookman Old Style" w:hAnsi="Bookman Old Style"/>
          <w:lang w:val="id-ID"/>
        </w:rPr>
        <w:t>Dalam rangka penegakan ketentuan pelindungan konsumen</w:t>
      </w:r>
      <w:r w:rsidR="007D2B6D" w:rsidRPr="00A428BB">
        <w:rPr>
          <w:rFonts w:ascii="Bookman Old Style" w:hAnsi="Bookman Old Style"/>
          <w:lang w:val="id-ID"/>
        </w:rPr>
        <w:t xml:space="preserve"> dan masyarakat</w:t>
      </w:r>
      <w:r w:rsidRPr="00A428BB">
        <w:rPr>
          <w:rFonts w:ascii="Bookman Old Style" w:hAnsi="Bookman Old Style"/>
          <w:lang w:val="id-ID"/>
        </w:rPr>
        <w:t xml:space="preserve">, </w:t>
      </w:r>
      <w:r w:rsidRPr="007F541B">
        <w:rPr>
          <w:rFonts w:ascii="Bookman Old Style" w:hAnsi="Bookman Old Style"/>
          <w:lang w:val="id-ID"/>
        </w:rPr>
        <w:t xml:space="preserve">melalui Satuan Tugas Pemberantasan Aktivitas Keuangan Ilegal (Satgas PASTI) pada periode Januari sampai dengan </w:t>
      </w:r>
      <w:r w:rsidR="001E1492" w:rsidRPr="007F541B">
        <w:rPr>
          <w:rFonts w:ascii="Bookman Old Style" w:hAnsi="Bookman Old Style"/>
          <w:lang w:val="id-ID"/>
        </w:rPr>
        <w:t>24 Juli</w:t>
      </w:r>
      <w:r w:rsidRPr="007F541B">
        <w:rPr>
          <w:rFonts w:ascii="Bookman Old Style" w:hAnsi="Bookman Old Style"/>
          <w:lang w:val="id-ID"/>
        </w:rPr>
        <w:t xml:space="preserve"> 2025, OJK telah:</w:t>
      </w:r>
    </w:p>
    <w:p w14:paraId="3C03DD22" w14:textId="70393B96" w:rsidR="00DB5475" w:rsidRPr="00D6168E" w:rsidRDefault="00DB5475" w:rsidP="00D6168E">
      <w:pPr>
        <w:pStyle w:val="ListParagraph"/>
        <w:widowControl w:val="0"/>
        <w:numPr>
          <w:ilvl w:val="1"/>
          <w:numId w:val="23"/>
        </w:numPr>
        <w:autoSpaceDE w:val="0"/>
        <w:autoSpaceDN w:val="0"/>
        <w:spacing w:after="0" w:line="264" w:lineRule="auto"/>
        <w:ind w:left="425" w:right="-45" w:hanging="425"/>
        <w:contextualSpacing w:val="0"/>
        <w:jc w:val="both"/>
        <w:rPr>
          <w:rFonts w:ascii="Bookman Old Style" w:hAnsi="Bookman Old Style"/>
          <w:sz w:val="22"/>
          <w:szCs w:val="22"/>
          <w:lang w:val="fi-FI"/>
        </w:rPr>
      </w:pPr>
      <w:r w:rsidRPr="007F541B">
        <w:rPr>
          <w:rFonts w:ascii="Bookman Old Style" w:hAnsi="Bookman Old Style"/>
          <w:sz w:val="22"/>
          <w:szCs w:val="22"/>
          <w:lang w:val="id-ID"/>
        </w:rPr>
        <w:t xml:space="preserve">menemukan dan menghentikan 1.556 entitas pinjaman </w:t>
      </w:r>
      <w:r w:rsidRPr="007F541B">
        <w:rPr>
          <w:rFonts w:ascii="Bookman Old Style" w:hAnsi="Bookman Old Style"/>
          <w:i/>
          <w:sz w:val="22"/>
          <w:szCs w:val="22"/>
          <w:lang w:val="id-ID"/>
        </w:rPr>
        <w:t>online</w:t>
      </w:r>
      <w:r w:rsidRPr="007F541B">
        <w:rPr>
          <w:rFonts w:ascii="Bookman Old Style" w:hAnsi="Bookman Old Style"/>
          <w:sz w:val="22"/>
          <w:szCs w:val="22"/>
          <w:lang w:val="id-ID"/>
        </w:rPr>
        <w:t xml:space="preserve"> ilegal dan </w:t>
      </w:r>
      <w:r w:rsidR="00A540E1" w:rsidRPr="007F541B">
        <w:rPr>
          <w:rFonts w:ascii="Bookman Old Style" w:hAnsi="Bookman Old Style"/>
          <w:sz w:val="22"/>
          <w:szCs w:val="22"/>
          <w:lang w:val="id-ID"/>
        </w:rPr>
        <w:t>284</w:t>
      </w:r>
      <w:r w:rsidRPr="007F541B">
        <w:rPr>
          <w:rFonts w:ascii="Bookman Old Style" w:hAnsi="Bookman Old Style"/>
          <w:sz w:val="22"/>
          <w:szCs w:val="22"/>
          <w:lang w:val="id-ID"/>
        </w:rPr>
        <w:t xml:space="preserve"> penawaran investasi ilegal di sejumlah situs dan aplikasi yang berpotensi merugikan masyarakat. </w:t>
      </w:r>
    </w:p>
    <w:p w14:paraId="4CAAA742" w14:textId="77777777" w:rsidR="004818E5" w:rsidRDefault="00DB5475" w:rsidP="002B608F">
      <w:pPr>
        <w:pStyle w:val="ListParagraph"/>
        <w:widowControl w:val="0"/>
        <w:numPr>
          <w:ilvl w:val="1"/>
          <w:numId w:val="23"/>
        </w:numPr>
        <w:autoSpaceDE w:val="0"/>
        <w:autoSpaceDN w:val="0"/>
        <w:spacing w:after="120" w:line="264" w:lineRule="auto"/>
        <w:ind w:left="426" w:right="-46"/>
        <w:jc w:val="both"/>
        <w:rPr>
          <w:rFonts w:ascii="Bookman Old Style" w:hAnsi="Bookman Old Style"/>
          <w:sz w:val="22"/>
          <w:szCs w:val="22"/>
          <w:lang w:val="id-ID"/>
        </w:rPr>
      </w:pPr>
      <w:r w:rsidRPr="007F541B">
        <w:rPr>
          <w:rFonts w:ascii="Bookman Old Style" w:hAnsi="Bookman Old Style"/>
          <w:sz w:val="22"/>
          <w:szCs w:val="22"/>
          <w:lang w:val="id-ID"/>
        </w:rPr>
        <w:t>menemukan nomor kontak pihak penagih (</w:t>
      </w:r>
      <w:r w:rsidRPr="007F541B">
        <w:rPr>
          <w:rFonts w:ascii="Bookman Old Style" w:hAnsi="Bookman Old Style"/>
          <w:i/>
          <w:sz w:val="22"/>
          <w:szCs w:val="22"/>
          <w:lang w:val="id-ID"/>
        </w:rPr>
        <w:t>debt collector</w:t>
      </w:r>
      <w:r w:rsidRPr="007F541B">
        <w:rPr>
          <w:rFonts w:ascii="Bookman Old Style" w:hAnsi="Bookman Old Style"/>
          <w:sz w:val="22"/>
          <w:szCs w:val="22"/>
          <w:lang w:val="id-ID"/>
        </w:rPr>
        <w:t xml:space="preserve">) pinjaman </w:t>
      </w:r>
      <w:r w:rsidRPr="007F541B">
        <w:rPr>
          <w:rFonts w:ascii="Bookman Old Style" w:hAnsi="Bookman Old Style"/>
          <w:i/>
          <w:sz w:val="22"/>
          <w:szCs w:val="22"/>
          <w:lang w:val="id-ID"/>
        </w:rPr>
        <w:t>online</w:t>
      </w:r>
      <w:r w:rsidRPr="007F541B">
        <w:rPr>
          <w:rFonts w:ascii="Bookman Old Style" w:hAnsi="Bookman Old Style"/>
          <w:sz w:val="22"/>
          <w:szCs w:val="22"/>
          <w:lang w:val="id-ID"/>
        </w:rPr>
        <w:t xml:space="preserve"> ilegal dan telah mengajukan pemblokiran terhadap 2.422 nomor kontak kepada Kementerian Komunikasi dan Digital RI.</w:t>
      </w:r>
      <w:r w:rsidR="004818E5">
        <w:rPr>
          <w:rFonts w:ascii="Bookman Old Style" w:hAnsi="Bookman Old Style"/>
          <w:sz w:val="22"/>
          <w:szCs w:val="22"/>
          <w:lang w:val="id-ID"/>
        </w:rPr>
        <w:t xml:space="preserve"> </w:t>
      </w:r>
    </w:p>
    <w:p w14:paraId="4CD7F9F9" w14:textId="24D66346" w:rsidR="00601901" w:rsidRPr="000E2171" w:rsidRDefault="00DB5475" w:rsidP="00601901">
      <w:pPr>
        <w:pStyle w:val="BodyText"/>
        <w:spacing w:after="120" w:line="264" w:lineRule="auto"/>
        <w:ind w:right="-46"/>
        <w:rPr>
          <w:rFonts w:ascii="Bookman Old Style" w:hAnsi="Bookman Old Style"/>
          <w:highlight w:val="yellow"/>
          <w:lang w:val="id-ID"/>
        </w:rPr>
      </w:pPr>
      <w:r w:rsidRPr="00A428BB">
        <w:rPr>
          <w:rFonts w:ascii="Bookman Old Style" w:hAnsi="Bookman Old Style"/>
          <w:lang w:val="id-ID"/>
        </w:rPr>
        <w:t xml:space="preserve">Selain itu, Satgas PASTI </w:t>
      </w:r>
      <w:r w:rsidR="00A540E1" w:rsidRPr="00A428BB">
        <w:rPr>
          <w:rFonts w:ascii="Bookman Old Style" w:hAnsi="Bookman Old Style"/>
          <w:lang w:val="id-ID"/>
        </w:rPr>
        <w:t>memonitor</w:t>
      </w:r>
      <w:r w:rsidRPr="00A428BB">
        <w:rPr>
          <w:rFonts w:ascii="Bookman Old Style" w:hAnsi="Bookman Old Style"/>
          <w:lang w:val="id-ID"/>
        </w:rPr>
        <w:t xml:space="preserve"> laporan penipuan </w:t>
      </w:r>
      <w:r w:rsidR="004818E5" w:rsidRPr="00A428BB">
        <w:rPr>
          <w:rFonts w:ascii="Bookman Old Style" w:hAnsi="Bookman Old Style"/>
          <w:lang w:val="id-ID"/>
        </w:rPr>
        <w:t>yang disampaikan masyarakat di Indonesia kepada Indonesia Anti Scan Centre (</w:t>
      </w:r>
      <w:r w:rsidRPr="00A428BB">
        <w:rPr>
          <w:rFonts w:ascii="Bookman Old Style" w:hAnsi="Bookman Old Style"/>
          <w:lang w:val="id-ID"/>
        </w:rPr>
        <w:t>IASC</w:t>
      </w:r>
      <w:r w:rsidR="004818E5" w:rsidRPr="00A428BB">
        <w:rPr>
          <w:rFonts w:ascii="Bookman Old Style" w:hAnsi="Bookman Old Style"/>
          <w:lang w:val="id-ID"/>
        </w:rPr>
        <w:t>)</w:t>
      </w:r>
      <w:r w:rsidRPr="00A428BB">
        <w:rPr>
          <w:rFonts w:ascii="Bookman Old Style" w:hAnsi="Bookman Old Style"/>
          <w:lang w:val="id-ID"/>
        </w:rPr>
        <w:t xml:space="preserve"> dan menemukan </w:t>
      </w:r>
      <w:r w:rsidR="00A540E1" w:rsidRPr="00A428BB">
        <w:rPr>
          <w:rFonts w:ascii="Bookman Old Style" w:hAnsi="Bookman Old Style"/>
          <w:lang w:val="id-ID"/>
        </w:rPr>
        <w:t xml:space="preserve">sebanyak </w:t>
      </w:r>
      <w:r w:rsidRPr="004818E5">
        <w:rPr>
          <w:rFonts w:ascii="Bookman Old Style" w:hAnsi="Bookman Old Style"/>
          <w:lang w:val="id-ID"/>
        </w:rPr>
        <w:t xml:space="preserve">22.993 nomor </w:t>
      </w:r>
      <w:r w:rsidR="005D2D66" w:rsidRPr="004818E5">
        <w:rPr>
          <w:rFonts w:ascii="Bookman Old Style" w:hAnsi="Bookman Old Style"/>
          <w:lang w:val="id-ID"/>
        </w:rPr>
        <w:t xml:space="preserve">kontak </w:t>
      </w:r>
      <w:r w:rsidRPr="004818E5">
        <w:rPr>
          <w:rFonts w:ascii="Bookman Old Style" w:hAnsi="Bookman Old Style"/>
          <w:lang w:val="id-ID"/>
        </w:rPr>
        <w:t xml:space="preserve">yang dilaporkan oleh korban penipuan. Menindaklanjuti hal tersebut, Satgas PASTI telah melakukan koordinasi dengan Kementerian </w:t>
      </w:r>
      <w:r w:rsidRPr="00A428BB">
        <w:rPr>
          <w:rFonts w:ascii="Bookman Old Style" w:hAnsi="Bookman Old Style"/>
          <w:lang w:val="id-ID"/>
        </w:rPr>
        <w:t xml:space="preserve">Komunikasi dan Digital RI </w:t>
      </w:r>
      <w:r w:rsidR="00601901" w:rsidRPr="00A428BB">
        <w:rPr>
          <w:rFonts w:ascii="Bookman Old Style" w:hAnsi="Bookman Old Style"/>
          <w:lang w:val="id-ID"/>
        </w:rPr>
        <w:t>untuk menganalisis dan melakukan pemblokiran nomor dimaksud jika terbukti digunakan dalam upaya penipuan.</w:t>
      </w:r>
    </w:p>
    <w:p w14:paraId="4CF0D963" w14:textId="77777777" w:rsidR="00A428BB" w:rsidRDefault="002B608F" w:rsidP="00286083">
      <w:pPr>
        <w:pStyle w:val="BodyText"/>
        <w:spacing w:after="120" w:line="264" w:lineRule="auto"/>
        <w:ind w:right="-46"/>
        <w:rPr>
          <w:rFonts w:ascii="Bookman Old Style" w:hAnsi="Bookman Old Style"/>
          <w:lang w:val="id-ID"/>
        </w:rPr>
      </w:pPr>
      <w:r w:rsidRPr="00C82C24">
        <w:rPr>
          <w:rFonts w:ascii="Bookman Old Style" w:hAnsi="Bookman Old Style"/>
          <w:lang w:val="id-ID"/>
        </w:rPr>
        <w:t xml:space="preserve">Sejak peluncurannya pada 22 November 2024 sampai dengan 29 Juli 2025, IASC telah menerima 204.011 laporan yang terdiri dari 129.793 laporan disampaikan oleh korban melalui Pelaku Usaha Sektor Keuangan (bank dan penyedia sistem </w:t>
      </w:r>
      <w:r w:rsidRPr="00A428BB">
        <w:rPr>
          <w:rFonts w:ascii="Bookman Old Style" w:hAnsi="Bookman Old Style"/>
          <w:lang w:val="id-ID"/>
        </w:rPr>
        <w:t xml:space="preserve">pembayaran) yang kemudian </w:t>
      </w:r>
      <w:r w:rsidR="00286083" w:rsidRPr="00A428BB">
        <w:rPr>
          <w:rFonts w:ascii="Bookman Old Style" w:hAnsi="Bookman Old Style"/>
          <w:lang w:val="id-ID"/>
        </w:rPr>
        <w:t xml:space="preserve">dikoordinasikan penanganannya melalui sistem IASC dan 74.218 laporan yang langsung disampaikan korban ke sistem IASC. </w:t>
      </w:r>
    </w:p>
    <w:p w14:paraId="0870A894" w14:textId="692BB5F8" w:rsidR="00286083" w:rsidRPr="00A428BB" w:rsidRDefault="00286083" w:rsidP="00286083">
      <w:pPr>
        <w:pStyle w:val="BodyText"/>
        <w:spacing w:after="120" w:line="264" w:lineRule="auto"/>
        <w:ind w:right="-46"/>
        <w:rPr>
          <w:rFonts w:ascii="Bookman Old Style" w:hAnsi="Bookman Old Style"/>
          <w:lang w:val="id-ID"/>
        </w:rPr>
      </w:pPr>
      <w:r w:rsidRPr="00A428BB">
        <w:rPr>
          <w:rFonts w:ascii="Bookman Old Style" w:hAnsi="Bookman Old Style"/>
          <w:lang w:val="id-ID"/>
        </w:rPr>
        <w:t>Jumlah rekening yang dilaporkan terkait penipuan sebanyak 326.283 dan jumlah rekening yang sudah diblokir sebanyak 66.271. Sejauh ini, total kerugian dana yang telah dilaporkan sebesar Rp4,1 triliun dan total dana korban yang sudah diblokir sebesar Rp348,3 miliar. IASC akan terus meningkatkan kapasitasnya mempercepat penanganan kasus penipuan di sektor keuangan.</w:t>
      </w:r>
    </w:p>
    <w:p w14:paraId="25AE69A8" w14:textId="436A9A38" w:rsidR="002B608F" w:rsidRPr="007F541B" w:rsidRDefault="002B608F" w:rsidP="00D6168E">
      <w:pPr>
        <w:pStyle w:val="BodyText"/>
        <w:spacing w:after="120" w:line="264" w:lineRule="auto"/>
        <w:ind w:right="-45"/>
        <w:rPr>
          <w:rFonts w:ascii="Bookman Old Style" w:hAnsi="Bookman Old Style"/>
          <w:lang w:val="id-ID"/>
        </w:rPr>
      </w:pPr>
      <w:r w:rsidRPr="007F541B">
        <w:rPr>
          <w:rFonts w:ascii="Bookman Old Style" w:hAnsi="Bookman Old Style"/>
          <w:lang w:val="id-ID"/>
        </w:rPr>
        <w:t xml:space="preserve">Dalam rangka penegakan ketentuan pelindungan konsumen, </w:t>
      </w:r>
      <w:r w:rsidR="00C552D4" w:rsidRPr="007F541B">
        <w:rPr>
          <w:rFonts w:ascii="Bookman Old Style" w:hAnsi="Bookman Old Style"/>
          <w:lang w:val="id-ID"/>
        </w:rPr>
        <w:t>selama periode 1 Januari 2025 s</w:t>
      </w:r>
      <w:r w:rsidR="00C552D4">
        <w:rPr>
          <w:rFonts w:ascii="Bookman Old Style" w:hAnsi="Bookman Old Style"/>
          <w:lang w:val="id-ID"/>
        </w:rPr>
        <w:t>ampai dengan</w:t>
      </w:r>
      <w:r w:rsidR="00C552D4" w:rsidRPr="007F541B">
        <w:rPr>
          <w:rFonts w:ascii="Bookman Old Style" w:hAnsi="Bookman Old Style"/>
          <w:lang w:val="id-ID"/>
        </w:rPr>
        <w:t xml:space="preserve"> 24 Juli 2025</w:t>
      </w:r>
      <w:r w:rsidR="00C552D4">
        <w:rPr>
          <w:rFonts w:ascii="Bookman Old Style" w:hAnsi="Bookman Old Style"/>
          <w:lang w:val="id-ID"/>
        </w:rPr>
        <w:t>,</w:t>
      </w:r>
      <w:r w:rsidR="00C552D4" w:rsidRPr="007F541B">
        <w:rPr>
          <w:rFonts w:ascii="Bookman Old Style" w:hAnsi="Bookman Old Style"/>
          <w:lang w:val="id-ID"/>
        </w:rPr>
        <w:t xml:space="preserve"> </w:t>
      </w:r>
      <w:r w:rsidRPr="007F541B">
        <w:rPr>
          <w:rFonts w:ascii="Bookman Old Style" w:hAnsi="Bookman Old Style"/>
          <w:lang w:val="id-ID"/>
        </w:rPr>
        <w:t xml:space="preserve">OJK telah memberikan peringatan tertulis dan/atau sanksi administratif berupa 86 Peringatan Tertulis kepada 72 </w:t>
      </w:r>
      <w:r w:rsidR="00881349">
        <w:rPr>
          <w:rFonts w:ascii="Bookman Old Style" w:hAnsi="Bookman Old Style"/>
          <w:lang w:val="id-ID"/>
        </w:rPr>
        <w:t>Penyedia Usaha Jasa Keuangan (</w:t>
      </w:r>
      <w:r w:rsidRPr="007F541B">
        <w:rPr>
          <w:rFonts w:ascii="Bookman Old Style" w:hAnsi="Bookman Old Style"/>
          <w:lang w:val="id-ID"/>
        </w:rPr>
        <w:t>PUJK</w:t>
      </w:r>
      <w:r w:rsidR="00881349">
        <w:rPr>
          <w:rFonts w:ascii="Bookman Old Style" w:hAnsi="Bookman Old Style"/>
          <w:lang w:val="id-ID"/>
        </w:rPr>
        <w:t>)</w:t>
      </w:r>
      <w:r w:rsidRPr="007F541B">
        <w:rPr>
          <w:rFonts w:ascii="Bookman Old Style" w:hAnsi="Bookman Old Style"/>
          <w:lang w:val="id-ID"/>
        </w:rPr>
        <w:t xml:space="preserve">, 13 Instruksi Tertulis kepada 13 PUJK, dan 23 Sanksi Denda kepada 22 PUJK. Selain itu, pada periode 1 Januari </w:t>
      </w:r>
      <w:r w:rsidR="00C552D4">
        <w:rPr>
          <w:rFonts w:ascii="Bookman Old Style" w:hAnsi="Bookman Old Style"/>
          <w:lang w:val="id-ID"/>
        </w:rPr>
        <w:t>sampai dengan</w:t>
      </w:r>
      <w:r w:rsidRPr="007F541B">
        <w:rPr>
          <w:rFonts w:ascii="Bookman Old Style" w:hAnsi="Bookman Old Style"/>
          <w:lang w:val="id-ID"/>
        </w:rPr>
        <w:t xml:space="preserve"> 13 Juli 2025 terdapat 113 PUJK yang melakukan penggantian kerugian konsumen dengan total kerugian </w:t>
      </w:r>
      <w:r w:rsidR="001D2E79">
        <w:rPr>
          <w:rFonts w:ascii="Bookman Old Style" w:hAnsi="Bookman Old Style"/>
          <w:lang w:val="id-ID"/>
        </w:rPr>
        <w:t>sebesar</w:t>
      </w:r>
      <w:r w:rsidRPr="007F541B">
        <w:rPr>
          <w:rFonts w:ascii="Bookman Old Style" w:hAnsi="Bookman Old Style"/>
          <w:lang w:val="id-ID"/>
        </w:rPr>
        <w:t xml:space="preserve"> Rp29,7 miliar dan USD3,281.</w:t>
      </w:r>
    </w:p>
    <w:p w14:paraId="6D3D3C2E" w14:textId="060F7A10" w:rsidR="00421B90" w:rsidRPr="00D6168E" w:rsidRDefault="00905514" w:rsidP="00D6168E">
      <w:pPr>
        <w:pStyle w:val="BodyText"/>
        <w:spacing w:after="120" w:line="264" w:lineRule="auto"/>
        <w:ind w:right="-46"/>
        <w:rPr>
          <w:rFonts w:ascii="Bookman Old Style" w:hAnsi="Bookman Old Style"/>
          <w:lang w:val="id-ID"/>
        </w:rPr>
      </w:pPr>
      <w:r w:rsidRPr="00D6168E">
        <w:rPr>
          <w:rFonts w:ascii="Bookman Old Style" w:hAnsi="Bookman Old Style"/>
          <w:lang w:val="id-ID"/>
        </w:rPr>
        <w:t>Dalam rangka pengawasan perilaku PUJK (</w:t>
      </w:r>
      <w:r w:rsidRPr="00D6168E">
        <w:rPr>
          <w:rFonts w:ascii="Bookman Old Style" w:hAnsi="Bookman Old Style"/>
          <w:i/>
          <w:iCs/>
          <w:lang w:val="id-ID"/>
        </w:rPr>
        <w:t>market conduct</w:t>
      </w:r>
      <w:r w:rsidRPr="00D6168E">
        <w:rPr>
          <w:rFonts w:ascii="Bookman Old Style" w:hAnsi="Bookman Old Style"/>
          <w:lang w:val="id-ID"/>
        </w:rPr>
        <w:t xml:space="preserve">), OJK telah melakukan penegakan ketentuan berupa Sanksi Administratif atas Hasil Pengawasan Langsung/Tidak Langsung. </w:t>
      </w:r>
      <w:r w:rsidRPr="000E2171">
        <w:rPr>
          <w:rFonts w:ascii="Bookman Old Style" w:hAnsi="Bookman Old Style"/>
          <w:lang w:val="id-ID"/>
        </w:rPr>
        <w:t>S</w:t>
      </w:r>
      <w:r w:rsidRPr="00D6168E">
        <w:rPr>
          <w:rFonts w:ascii="Bookman Old Style" w:hAnsi="Bookman Old Style"/>
          <w:lang w:val="id-ID"/>
        </w:rPr>
        <w:t xml:space="preserve">ejak 1 Januari </w:t>
      </w:r>
      <w:r w:rsidR="00901D6B">
        <w:rPr>
          <w:rFonts w:ascii="Bookman Old Style" w:hAnsi="Bookman Old Style"/>
          <w:lang w:val="id-ID"/>
        </w:rPr>
        <w:t>sampai dengan</w:t>
      </w:r>
      <w:r w:rsidRPr="00D6168E">
        <w:rPr>
          <w:rFonts w:ascii="Bookman Old Style" w:hAnsi="Bookman Old Style"/>
          <w:lang w:val="id-ID"/>
        </w:rPr>
        <w:t xml:space="preserve"> 25 Juli 2025, OJK telah mengenakan 6 Sanksi Administratif berupa Peringatan Tertulis dan 10 Sanksi Administratif berupa Denda atas pelanggaran ketentuan pelindungan konsumen </w:t>
      </w:r>
      <w:r w:rsidRPr="00D6168E">
        <w:rPr>
          <w:rFonts w:ascii="Bookman Old Style" w:hAnsi="Bookman Old Style"/>
          <w:lang w:val="id-ID"/>
        </w:rPr>
        <w:lastRenderedPageBreak/>
        <w:t xml:space="preserve">dalam penyediaan informasi </w:t>
      </w:r>
      <w:r w:rsidR="00852729">
        <w:rPr>
          <w:rFonts w:ascii="Bookman Old Style" w:hAnsi="Bookman Old Style"/>
          <w:lang w:val="id-ID"/>
        </w:rPr>
        <w:t>berupa</w:t>
      </w:r>
      <w:r w:rsidRPr="00D6168E">
        <w:rPr>
          <w:rFonts w:ascii="Bookman Old Style" w:hAnsi="Bookman Old Style"/>
          <w:lang w:val="id-ID"/>
        </w:rPr>
        <w:t xml:space="preserve"> iklan. Guna mencegah terulangnya pelanggaran serupa, OJK juga mengeluarkan perintah untuk melakukan tindakan tertentu termasuk menghapus iklan yang tidak sesuai dengan ketentuan. </w:t>
      </w:r>
    </w:p>
    <w:p w14:paraId="2986401A" w14:textId="62A26621" w:rsidR="00905514" w:rsidRPr="00D6168E" w:rsidRDefault="00905514" w:rsidP="00D6168E">
      <w:pPr>
        <w:pStyle w:val="BodyText"/>
        <w:spacing w:after="120" w:line="264" w:lineRule="auto"/>
        <w:ind w:right="-46"/>
        <w:rPr>
          <w:rFonts w:ascii="Bookman Old Style" w:hAnsi="Bookman Old Style"/>
          <w:lang w:val="id-ID"/>
        </w:rPr>
      </w:pPr>
      <w:r w:rsidRPr="00D6168E">
        <w:rPr>
          <w:rFonts w:ascii="Bookman Old Style" w:hAnsi="Bookman Old Style"/>
          <w:lang w:val="id-ID"/>
        </w:rPr>
        <w:t xml:space="preserve">Selain itu, OJK juga telah melakukan penegakan ketentuan atas kewajiban penyampaian laporan literasi dan inklusi keuangan, berupa pengenaan sanksi administratif atas keterlambatan dan/atau tidak disampaikannya laporan rencana literasi dan inklusi tahun 2025 serta realisasi literasi dan inklusi </w:t>
      </w:r>
      <w:r w:rsidR="00F1382A">
        <w:rPr>
          <w:rFonts w:ascii="Bookman Old Style" w:hAnsi="Bookman Old Style"/>
          <w:lang w:val="id-ID"/>
        </w:rPr>
        <w:t>S</w:t>
      </w:r>
      <w:r w:rsidRPr="00D6168E">
        <w:rPr>
          <w:rFonts w:ascii="Bookman Old Style" w:hAnsi="Bookman Old Style"/>
          <w:lang w:val="id-ID"/>
        </w:rPr>
        <w:t>emester II tahun 2024. Adapun rincian</w:t>
      </w:r>
      <w:r w:rsidR="0052224C">
        <w:rPr>
          <w:rFonts w:ascii="Bookman Old Style" w:hAnsi="Bookman Old Style"/>
          <w:lang w:val="id-ID"/>
        </w:rPr>
        <w:t xml:space="preserve"> adalah</w:t>
      </w:r>
      <w:r w:rsidRPr="00D6168E">
        <w:rPr>
          <w:rFonts w:ascii="Bookman Old Style" w:hAnsi="Bookman Old Style"/>
          <w:lang w:val="id-ID"/>
        </w:rPr>
        <w:t xml:space="preserve"> sebagai berikut</w:t>
      </w:r>
      <w:r w:rsidR="0052224C">
        <w:rPr>
          <w:rFonts w:ascii="Bookman Old Style" w:hAnsi="Bookman Old Style"/>
          <w:lang w:val="id-ID"/>
        </w:rPr>
        <w:t>:</w:t>
      </w:r>
    </w:p>
    <w:tbl>
      <w:tblPr>
        <w:tblStyle w:val="TableGrid"/>
        <w:tblW w:w="0" w:type="auto"/>
        <w:tblLook w:val="04A0" w:firstRow="1" w:lastRow="0" w:firstColumn="1" w:lastColumn="0" w:noHBand="0" w:noVBand="1"/>
      </w:tblPr>
      <w:tblGrid>
        <w:gridCol w:w="522"/>
        <w:gridCol w:w="4718"/>
        <w:gridCol w:w="1134"/>
        <w:gridCol w:w="2551"/>
      </w:tblGrid>
      <w:tr w:rsidR="00905514" w:rsidRPr="000B199F" w14:paraId="397647AC" w14:textId="77777777">
        <w:tc>
          <w:tcPr>
            <w:tcW w:w="522" w:type="dxa"/>
            <w:shd w:val="clear" w:color="auto" w:fill="D9D9D9" w:themeFill="background1" w:themeFillShade="D9"/>
          </w:tcPr>
          <w:p w14:paraId="1E55E4C3" w14:textId="77777777" w:rsidR="00905514" w:rsidRPr="00D6168E" w:rsidRDefault="00905514">
            <w:pPr>
              <w:pStyle w:val="BodyText"/>
              <w:spacing w:after="120" w:line="264" w:lineRule="auto"/>
              <w:ind w:right="-122"/>
              <w:rPr>
                <w:rFonts w:ascii="Bookman Old Style" w:hAnsi="Bookman Old Style"/>
                <w:b/>
                <w:bCs/>
                <w:sz w:val="18"/>
                <w:szCs w:val="18"/>
                <w:lang w:val="id-ID"/>
              </w:rPr>
            </w:pPr>
            <w:r w:rsidRPr="00D6168E">
              <w:rPr>
                <w:rFonts w:ascii="Bookman Old Style" w:hAnsi="Bookman Old Style"/>
                <w:b/>
                <w:bCs/>
                <w:sz w:val="18"/>
                <w:szCs w:val="18"/>
                <w:lang w:val="id-ID"/>
              </w:rPr>
              <w:t>No.</w:t>
            </w:r>
          </w:p>
        </w:tc>
        <w:tc>
          <w:tcPr>
            <w:tcW w:w="4718" w:type="dxa"/>
            <w:shd w:val="clear" w:color="auto" w:fill="D9D9D9" w:themeFill="background1" w:themeFillShade="D9"/>
          </w:tcPr>
          <w:p w14:paraId="6035D2F9" w14:textId="77777777" w:rsidR="00905514" w:rsidRPr="00D6168E" w:rsidRDefault="00905514">
            <w:pPr>
              <w:pStyle w:val="BodyText"/>
              <w:spacing w:after="120" w:line="264" w:lineRule="auto"/>
              <w:ind w:right="163"/>
              <w:jc w:val="center"/>
              <w:rPr>
                <w:rFonts w:ascii="Bookman Old Style" w:hAnsi="Bookman Old Style"/>
                <w:b/>
                <w:bCs/>
                <w:sz w:val="18"/>
                <w:szCs w:val="18"/>
                <w:lang w:val="id-ID"/>
              </w:rPr>
            </w:pPr>
            <w:r w:rsidRPr="00D6168E">
              <w:rPr>
                <w:rFonts w:ascii="Bookman Old Style" w:hAnsi="Bookman Old Style"/>
                <w:b/>
                <w:bCs/>
                <w:sz w:val="18"/>
                <w:szCs w:val="18"/>
                <w:lang w:val="id-ID"/>
              </w:rPr>
              <w:t>Jenis Sanksi Administratif</w:t>
            </w:r>
          </w:p>
        </w:tc>
        <w:tc>
          <w:tcPr>
            <w:tcW w:w="1134" w:type="dxa"/>
            <w:shd w:val="clear" w:color="auto" w:fill="D9D9D9" w:themeFill="background1" w:themeFillShade="D9"/>
          </w:tcPr>
          <w:p w14:paraId="0BEB74E6" w14:textId="77777777" w:rsidR="00905514" w:rsidRPr="00D6168E" w:rsidRDefault="00905514">
            <w:pPr>
              <w:pStyle w:val="BodyText"/>
              <w:spacing w:after="120" w:line="264" w:lineRule="auto"/>
              <w:jc w:val="center"/>
              <w:rPr>
                <w:rFonts w:ascii="Bookman Old Style" w:hAnsi="Bookman Old Style"/>
                <w:b/>
                <w:bCs/>
                <w:sz w:val="18"/>
                <w:szCs w:val="18"/>
                <w:lang w:val="id-ID"/>
              </w:rPr>
            </w:pPr>
            <w:r w:rsidRPr="00D6168E">
              <w:rPr>
                <w:rFonts w:ascii="Bookman Old Style" w:hAnsi="Bookman Old Style"/>
                <w:b/>
                <w:bCs/>
                <w:sz w:val="18"/>
                <w:szCs w:val="18"/>
                <w:lang w:val="id-ID"/>
              </w:rPr>
              <w:t>Jumlah</w:t>
            </w:r>
          </w:p>
        </w:tc>
        <w:tc>
          <w:tcPr>
            <w:tcW w:w="2551" w:type="dxa"/>
            <w:shd w:val="clear" w:color="auto" w:fill="D9D9D9" w:themeFill="background1" w:themeFillShade="D9"/>
          </w:tcPr>
          <w:p w14:paraId="62F0583F" w14:textId="77777777" w:rsidR="00905514" w:rsidRPr="00D6168E" w:rsidRDefault="00905514">
            <w:pPr>
              <w:pStyle w:val="BodyText"/>
              <w:spacing w:after="120" w:line="264" w:lineRule="auto"/>
              <w:ind w:right="163"/>
              <w:jc w:val="center"/>
              <w:rPr>
                <w:rFonts w:ascii="Bookman Old Style" w:hAnsi="Bookman Old Style"/>
                <w:b/>
                <w:bCs/>
                <w:sz w:val="18"/>
                <w:szCs w:val="18"/>
                <w:lang w:val="id-ID"/>
              </w:rPr>
            </w:pPr>
            <w:r w:rsidRPr="00D6168E">
              <w:rPr>
                <w:rFonts w:ascii="Bookman Old Style" w:hAnsi="Bookman Old Style"/>
                <w:b/>
                <w:bCs/>
                <w:sz w:val="18"/>
                <w:szCs w:val="18"/>
                <w:lang w:val="id-ID"/>
              </w:rPr>
              <w:t>Nilai</w:t>
            </w:r>
          </w:p>
        </w:tc>
      </w:tr>
      <w:tr w:rsidR="00905514" w:rsidRPr="000B199F" w14:paraId="1BDF8FB3" w14:textId="77777777">
        <w:tc>
          <w:tcPr>
            <w:tcW w:w="8925" w:type="dxa"/>
            <w:gridSpan w:val="4"/>
          </w:tcPr>
          <w:p w14:paraId="09A862B6" w14:textId="77777777" w:rsidR="00905514" w:rsidRPr="00D6168E" w:rsidRDefault="00905514">
            <w:pPr>
              <w:pStyle w:val="BodyText"/>
              <w:spacing w:after="120" w:line="264" w:lineRule="auto"/>
              <w:ind w:right="163"/>
              <w:rPr>
                <w:rFonts w:ascii="Bookman Old Style" w:hAnsi="Bookman Old Style"/>
                <w:b/>
                <w:bCs/>
                <w:sz w:val="18"/>
                <w:szCs w:val="18"/>
                <w:lang w:val="id-ID"/>
              </w:rPr>
            </w:pPr>
            <w:r w:rsidRPr="00D6168E">
              <w:rPr>
                <w:rFonts w:ascii="Bookman Old Style" w:hAnsi="Bookman Old Style"/>
                <w:b/>
                <w:bCs/>
                <w:sz w:val="18"/>
                <w:szCs w:val="18"/>
                <w:lang w:val="id-ID"/>
              </w:rPr>
              <w:t>Penyediaan Informasi dalam Iklan</w:t>
            </w:r>
          </w:p>
        </w:tc>
      </w:tr>
      <w:tr w:rsidR="00905514" w:rsidRPr="000B199F" w14:paraId="1045A197" w14:textId="77777777">
        <w:tc>
          <w:tcPr>
            <w:tcW w:w="522" w:type="dxa"/>
          </w:tcPr>
          <w:p w14:paraId="6A98869D" w14:textId="77777777" w:rsidR="00905514" w:rsidRPr="00D6168E" w:rsidRDefault="00905514">
            <w:pPr>
              <w:pStyle w:val="BodyText"/>
              <w:spacing w:after="120" w:line="264" w:lineRule="auto"/>
              <w:ind w:right="-122"/>
              <w:rPr>
                <w:rFonts w:ascii="Bookman Old Style" w:hAnsi="Bookman Old Style"/>
                <w:sz w:val="18"/>
                <w:szCs w:val="18"/>
                <w:lang w:val="id-ID"/>
              </w:rPr>
            </w:pPr>
            <w:r w:rsidRPr="00D6168E">
              <w:rPr>
                <w:rFonts w:ascii="Bookman Old Style" w:hAnsi="Bookman Old Style"/>
                <w:sz w:val="18"/>
                <w:szCs w:val="18"/>
                <w:lang w:val="id-ID"/>
              </w:rPr>
              <w:t>1.</w:t>
            </w:r>
          </w:p>
        </w:tc>
        <w:tc>
          <w:tcPr>
            <w:tcW w:w="4718" w:type="dxa"/>
          </w:tcPr>
          <w:p w14:paraId="787124E6" w14:textId="77777777" w:rsidR="00905514" w:rsidRPr="00D6168E" w:rsidRDefault="00905514">
            <w:pPr>
              <w:pStyle w:val="BodyText"/>
              <w:spacing w:after="120" w:line="264" w:lineRule="auto"/>
              <w:rPr>
                <w:rFonts w:ascii="Bookman Old Style" w:hAnsi="Bookman Old Style"/>
                <w:sz w:val="18"/>
                <w:szCs w:val="18"/>
                <w:lang w:val="id-ID"/>
              </w:rPr>
            </w:pPr>
            <w:r w:rsidRPr="00D6168E">
              <w:rPr>
                <w:rFonts w:ascii="Bookman Old Style" w:hAnsi="Bookman Old Style"/>
                <w:sz w:val="18"/>
                <w:szCs w:val="18"/>
                <w:lang w:val="id-ID"/>
              </w:rPr>
              <w:t>Sanksi Administratif berupa Denda</w:t>
            </w:r>
          </w:p>
        </w:tc>
        <w:tc>
          <w:tcPr>
            <w:tcW w:w="1134" w:type="dxa"/>
          </w:tcPr>
          <w:p w14:paraId="27A19307" w14:textId="77777777" w:rsidR="00905514" w:rsidRPr="00D6168E" w:rsidRDefault="00905514">
            <w:pPr>
              <w:pStyle w:val="BodyText"/>
              <w:spacing w:after="120" w:line="264" w:lineRule="auto"/>
              <w:ind w:right="-110"/>
              <w:jc w:val="center"/>
              <w:rPr>
                <w:rFonts w:ascii="Bookman Old Style" w:hAnsi="Bookman Old Style"/>
                <w:sz w:val="18"/>
                <w:szCs w:val="18"/>
                <w:lang w:val="id-ID"/>
              </w:rPr>
            </w:pPr>
            <w:r w:rsidRPr="00D6168E">
              <w:rPr>
                <w:rFonts w:ascii="Bookman Old Style" w:hAnsi="Bookman Old Style"/>
                <w:sz w:val="18"/>
                <w:szCs w:val="18"/>
                <w:lang w:val="id-ID"/>
              </w:rPr>
              <w:t>10</w:t>
            </w:r>
          </w:p>
        </w:tc>
        <w:tc>
          <w:tcPr>
            <w:tcW w:w="2551" w:type="dxa"/>
          </w:tcPr>
          <w:p w14:paraId="7C92369A" w14:textId="77777777" w:rsidR="00905514" w:rsidRPr="00D6168E" w:rsidRDefault="00905514">
            <w:pPr>
              <w:pStyle w:val="BodyText"/>
              <w:spacing w:after="120" w:line="264" w:lineRule="auto"/>
              <w:ind w:right="163"/>
              <w:jc w:val="right"/>
              <w:rPr>
                <w:rFonts w:ascii="Bookman Old Style" w:hAnsi="Bookman Old Style"/>
                <w:sz w:val="18"/>
                <w:szCs w:val="18"/>
                <w:lang w:val="id-ID"/>
              </w:rPr>
            </w:pPr>
            <w:r w:rsidRPr="00D6168E">
              <w:rPr>
                <w:rFonts w:ascii="Bookman Old Style" w:hAnsi="Bookman Old Style"/>
                <w:sz w:val="18"/>
                <w:szCs w:val="18"/>
                <w:lang w:val="id-ID"/>
              </w:rPr>
              <w:t>Rp278.000.000,00</w:t>
            </w:r>
          </w:p>
        </w:tc>
      </w:tr>
      <w:tr w:rsidR="00905514" w:rsidRPr="000B199F" w14:paraId="6583B699" w14:textId="77777777">
        <w:tc>
          <w:tcPr>
            <w:tcW w:w="522" w:type="dxa"/>
          </w:tcPr>
          <w:p w14:paraId="5A54EA35" w14:textId="77777777" w:rsidR="00905514" w:rsidRPr="00D6168E" w:rsidRDefault="00905514">
            <w:pPr>
              <w:pStyle w:val="BodyText"/>
              <w:spacing w:after="120" w:line="264" w:lineRule="auto"/>
              <w:ind w:right="-122"/>
              <w:rPr>
                <w:rFonts w:ascii="Bookman Old Style" w:hAnsi="Bookman Old Style"/>
                <w:sz w:val="18"/>
                <w:szCs w:val="18"/>
                <w:lang w:val="id-ID"/>
              </w:rPr>
            </w:pPr>
            <w:r w:rsidRPr="00D6168E">
              <w:rPr>
                <w:rFonts w:ascii="Bookman Old Style" w:hAnsi="Bookman Old Style"/>
                <w:sz w:val="18"/>
                <w:szCs w:val="18"/>
                <w:lang w:val="id-ID"/>
              </w:rPr>
              <w:t>2.</w:t>
            </w:r>
          </w:p>
        </w:tc>
        <w:tc>
          <w:tcPr>
            <w:tcW w:w="4718" w:type="dxa"/>
          </w:tcPr>
          <w:p w14:paraId="06A9D09E" w14:textId="77777777" w:rsidR="00905514" w:rsidRPr="00D6168E" w:rsidRDefault="00905514">
            <w:pPr>
              <w:pStyle w:val="BodyText"/>
              <w:spacing w:after="120" w:line="264" w:lineRule="auto"/>
              <w:rPr>
                <w:rFonts w:ascii="Bookman Old Style" w:hAnsi="Bookman Old Style"/>
                <w:sz w:val="18"/>
                <w:szCs w:val="18"/>
                <w:lang w:val="id-ID"/>
              </w:rPr>
            </w:pPr>
            <w:r w:rsidRPr="00D6168E">
              <w:rPr>
                <w:rFonts w:ascii="Bookman Old Style" w:hAnsi="Bookman Old Style"/>
                <w:sz w:val="18"/>
                <w:szCs w:val="18"/>
                <w:lang w:val="id-ID"/>
              </w:rPr>
              <w:t>Sanksi Administratif berupa Peringatan Tertulis</w:t>
            </w:r>
          </w:p>
        </w:tc>
        <w:tc>
          <w:tcPr>
            <w:tcW w:w="1134" w:type="dxa"/>
          </w:tcPr>
          <w:p w14:paraId="3BB4FD50" w14:textId="77777777" w:rsidR="00905514" w:rsidRPr="00D6168E" w:rsidRDefault="00905514">
            <w:pPr>
              <w:pStyle w:val="BodyText"/>
              <w:spacing w:after="120" w:line="264" w:lineRule="auto"/>
              <w:ind w:right="-110"/>
              <w:jc w:val="center"/>
              <w:rPr>
                <w:rFonts w:ascii="Bookman Old Style" w:hAnsi="Bookman Old Style"/>
                <w:sz w:val="18"/>
                <w:szCs w:val="18"/>
                <w:lang w:val="id-ID"/>
              </w:rPr>
            </w:pPr>
            <w:r w:rsidRPr="00D6168E">
              <w:rPr>
                <w:rFonts w:ascii="Bookman Old Style" w:hAnsi="Bookman Old Style"/>
                <w:sz w:val="18"/>
                <w:szCs w:val="18"/>
                <w:lang w:val="id-ID"/>
              </w:rPr>
              <w:t>6</w:t>
            </w:r>
          </w:p>
        </w:tc>
        <w:tc>
          <w:tcPr>
            <w:tcW w:w="2551" w:type="dxa"/>
          </w:tcPr>
          <w:p w14:paraId="2966BD95" w14:textId="77777777" w:rsidR="00905514" w:rsidRPr="00D6168E" w:rsidRDefault="00905514">
            <w:pPr>
              <w:pStyle w:val="BodyText"/>
              <w:spacing w:after="120" w:line="264" w:lineRule="auto"/>
              <w:ind w:right="163"/>
              <w:jc w:val="right"/>
              <w:rPr>
                <w:rFonts w:ascii="Bookman Old Style" w:hAnsi="Bookman Old Style"/>
                <w:sz w:val="18"/>
                <w:szCs w:val="18"/>
                <w:lang w:val="id-ID"/>
              </w:rPr>
            </w:pPr>
            <w:r w:rsidRPr="00D6168E">
              <w:rPr>
                <w:rFonts w:ascii="Bookman Old Style" w:hAnsi="Bookman Old Style"/>
                <w:sz w:val="18"/>
                <w:szCs w:val="18"/>
                <w:lang w:val="id-ID"/>
              </w:rPr>
              <w:t>-</w:t>
            </w:r>
          </w:p>
        </w:tc>
      </w:tr>
      <w:tr w:rsidR="00905514" w:rsidRPr="000E2171" w14:paraId="0442BCD4" w14:textId="77777777">
        <w:tc>
          <w:tcPr>
            <w:tcW w:w="8925" w:type="dxa"/>
            <w:gridSpan w:val="4"/>
          </w:tcPr>
          <w:p w14:paraId="0900F1A3" w14:textId="77777777" w:rsidR="00905514" w:rsidRPr="00D6168E" w:rsidRDefault="00905514">
            <w:pPr>
              <w:pStyle w:val="BodyText"/>
              <w:spacing w:after="120" w:line="264" w:lineRule="auto"/>
              <w:ind w:right="163"/>
              <w:rPr>
                <w:rFonts w:ascii="Bookman Old Style" w:hAnsi="Bookman Old Style"/>
                <w:b/>
                <w:bCs/>
                <w:sz w:val="18"/>
                <w:szCs w:val="18"/>
                <w:lang w:val="id-ID"/>
              </w:rPr>
            </w:pPr>
            <w:r w:rsidRPr="00D6168E">
              <w:rPr>
                <w:rFonts w:ascii="Bookman Old Style" w:hAnsi="Bookman Old Style"/>
                <w:b/>
                <w:bCs/>
                <w:sz w:val="18"/>
                <w:szCs w:val="18"/>
                <w:lang w:val="id-ID"/>
              </w:rPr>
              <w:t>Kewajiban Pelaporan Literasi dan Inklusi Keuangan</w:t>
            </w:r>
          </w:p>
        </w:tc>
      </w:tr>
      <w:tr w:rsidR="00905514" w:rsidRPr="000B199F" w14:paraId="66A948B5" w14:textId="77777777">
        <w:tc>
          <w:tcPr>
            <w:tcW w:w="522" w:type="dxa"/>
          </w:tcPr>
          <w:p w14:paraId="0F52D6DA" w14:textId="77777777" w:rsidR="00905514" w:rsidRPr="00D6168E" w:rsidRDefault="00905514">
            <w:pPr>
              <w:pStyle w:val="BodyText"/>
              <w:spacing w:after="120" w:line="264" w:lineRule="auto"/>
              <w:ind w:right="-122"/>
              <w:rPr>
                <w:rFonts w:ascii="Bookman Old Style" w:hAnsi="Bookman Old Style"/>
                <w:sz w:val="18"/>
                <w:szCs w:val="18"/>
                <w:lang w:val="id-ID"/>
              </w:rPr>
            </w:pPr>
            <w:r w:rsidRPr="00D6168E">
              <w:rPr>
                <w:rFonts w:ascii="Bookman Old Style" w:hAnsi="Bookman Old Style"/>
                <w:sz w:val="18"/>
                <w:szCs w:val="18"/>
                <w:lang w:val="id-ID"/>
              </w:rPr>
              <w:t>1.</w:t>
            </w:r>
          </w:p>
        </w:tc>
        <w:tc>
          <w:tcPr>
            <w:tcW w:w="4718" w:type="dxa"/>
          </w:tcPr>
          <w:p w14:paraId="780927C2" w14:textId="77777777" w:rsidR="00905514" w:rsidRPr="00D6168E" w:rsidRDefault="00905514">
            <w:pPr>
              <w:pStyle w:val="BodyText"/>
              <w:spacing w:after="120" w:line="264" w:lineRule="auto"/>
              <w:rPr>
                <w:rFonts w:ascii="Bookman Old Style" w:hAnsi="Bookman Old Style"/>
                <w:sz w:val="18"/>
                <w:szCs w:val="18"/>
                <w:lang w:val="id-ID"/>
              </w:rPr>
            </w:pPr>
            <w:r w:rsidRPr="00D6168E">
              <w:rPr>
                <w:rFonts w:ascii="Bookman Old Style" w:hAnsi="Bookman Old Style"/>
                <w:sz w:val="18"/>
                <w:szCs w:val="18"/>
                <w:lang w:val="id-ID"/>
              </w:rPr>
              <w:t>Sanksi Administratif berupa Denda</w:t>
            </w:r>
          </w:p>
        </w:tc>
        <w:tc>
          <w:tcPr>
            <w:tcW w:w="1134" w:type="dxa"/>
          </w:tcPr>
          <w:p w14:paraId="12473105" w14:textId="77777777" w:rsidR="00905514" w:rsidRPr="00D6168E" w:rsidRDefault="00905514">
            <w:pPr>
              <w:pStyle w:val="BodyText"/>
              <w:spacing w:after="120" w:line="264" w:lineRule="auto"/>
              <w:ind w:right="-110"/>
              <w:jc w:val="center"/>
              <w:rPr>
                <w:rFonts w:ascii="Bookman Old Style" w:hAnsi="Bookman Old Style"/>
                <w:sz w:val="18"/>
                <w:szCs w:val="18"/>
                <w:lang w:val="id-ID"/>
              </w:rPr>
            </w:pPr>
            <w:r w:rsidRPr="00D6168E">
              <w:rPr>
                <w:rFonts w:ascii="Bookman Old Style" w:hAnsi="Bookman Old Style"/>
                <w:sz w:val="18"/>
                <w:szCs w:val="18"/>
                <w:lang w:val="id-ID"/>
              </w:rPr>
              <w:t>76</w:t>
            </w:r>
          </w:p>
        </w:tc>
        <w:tc>
          <w:tcPr>
            <w:tcW w:w="2551" w:type="dxa"/>
          </w:tcPr>
          <w:p w14:paraId="503043E3" w14:textId="77777777" w:rsidR="00905514" w:rsidRPr="00D6168E" w:rsidRDefault="00905514">
            <w:pPr>
              <w:pStyle w:val="BodyText"/>
              <w:spacing w:after="120" w:line="264" w:lineRule="auto"/>
              <w:ind w:right="163"/>
              <w:jc w:val="right"/>
              <w:rPr>
                <w:rFonts w:ascii="Bookman Old Style" w:hAnsi="Bookman Old Style"/>
                <w:sz w:val="18"/>
                <w:szCs w:val="18"/>
                <w:lang w:val="id-ID"/>
              </w:rPr>
            </w:pPr>
            <w:r w:rsidRPr="00D6168E">
              <w:rPr>
                <w:rFonts w:ascii="Bookman Old Style" w:hAnsi="Bookman Old Style"/>
                <w:sz w:val="18"/>
                <w:szCs w:val="18"/>
                <w:lang w:val="id-ID"/>
              </w:rPr>
              <w:t>Rp5.218.200.000,00</w:t>
            </w:r>
          </w:p>
        </w:tc>
      </w:tr>
      <w:tr w:rsidR="00905514" w:rsidRPr="000B199F" w14:paraId="73A14721" w14:textId="77777777">
        <w:tc>
          <w:tcPr>
            <w:tcW w:w="522" w:type="dxa"/>
          </w:tcPr>
          <w:p w14:paraId="07574184" w14:textId="77777777" w:rsidR="00905514" w:rsidRPr="00D6168E" w:rsidRDefault="00905514">
            <w:pPr>
              <w:pStyle w:val="BodyText"/>
              <w:spacing w:after="120" w:line="264" w:lineRule="auto"/>
              <w:ind w:right="20"/>
              <w:rPr>
                <w:rFonts w:ascii="Bookman Old Style" w:hAnsi="Bookman Old Style"/>
                <w:sz w:val="18"/>
                <w:szCs w:val="18"/>
                <w:lang w:val="id-ID"/>
              </w:rPr>
            </w:pPr>
            <w:r w:rsidRPr="00D6168E">
              <w:rPr>
                <w:rFonts w:ascii="Bookman Old Style" w:hAnsi="Bookman Old Style"/>
                <w:sz w:val="18"/>
                <w:szCs w:val="18"/>
                <w:lang w:val="id-ID"/>
              </w:rPr>
              <w:t>2.</w:t>
            </w:r>
          </w:p>
        </w:tc>
        <w:tc>
          <w:tcPr>
            <w:tcW w:w="4718" w:type="dxa"/>
          </w:tcPr>
          <w:p w14:paraId="39791ECC" w14:textId="77777777" w:rsidR="00905514" w:rsidRPr="00D6168E" w:rsidRDefault="00905514">
            <w:pPr>
              <w:pStyle w:val="BodyText"/>
              <w:spacing w:after="120" w:line="264" w:lineRule="auto"/>
              <w:rPr>
                <w:rFonts w:ascii="Bookman Old Style" w:hAnsi="Bookman Old Style"/>
                <w:sz w:val="18"/>
                <w:szCs w:val="18"/>
                <w:lang w:val="id-ID"/>
              </w:rPr>
            </w:pPr>
            <w:r w:rsidRPr="00D6168E">
              <w:rPr>
                <w:rFonts w:ascii="Bookman Old Style" w:hAnsi="Bookman Old Style"/>
                <w:sz w:val="18"/>
                <w:szCs w:val="18"/>
                <w:lang w:val="id-ID"/>
              </w:rPr>
              <w:t>Sanksi Administratif berupa Peringatan Tertulis</w:t>
            </w:r>
          </w:p>
        </w:tc>
        <w:tc>
          <w:tcPr>
            <w:tcW w:w="1134" w:type="dxa"/>
          </w:tcPr>
          <w:p w14:paraId="769F5AA3" w14:textId="77777777" w:rsidR="00905514" w:rsidRPr="00D6168E" w:rsidRDefault="00905514">
            <w:pPr>
              <w:pStyle w:val="BodyText"/>
              <w:spacing w:after="120" w:line="264" w:lineRule="auto"/>
              <w:ind w:right="-110"/>
              <w:jc w:val="center"/>
              <w:rPr>
                <w:rFonts w:ascii="Bookman Old Style" w:hAnsi="Bookman Old Style"/>
                <w:sz w:val="18"/>
                <w:szCs w:val="18"/>
                <w:lang w:val="id-ID"/>
              </w:rPr>
            </w:pPr>
            <w:r w:rsidRPr="00D6168E">
              <w:rPr>
                <w:rFonts w:ascii="Bookman Old Style" w:hAnsi="Bookman Old Style"/>
                <w:sz w:val="18"/>
                <w:szCs w:val="18"/>
                <w:lang w:val="id-ID"/>
              </w:rPr>
              <w:t>17</w:t>
            </w:r>
          </w:p>
        </w:tc>
        <w:tc>
          <w:tcPr>
            <w:tcW w:w="2551" w:type="dxa"/>
          </w:tcPr>
          <w:p w14:paraId="5A6519F2" w14:textId="77777777" w:rsidR="00905514" w:rsidRPr="00D6168E" w:rsidRDefault="00905514">
            <w:pPr>
              <w:pStyle w:val="BodyText"/>
              <w:spacing w:after="120" w:line="264" w:lineRule="auto"/>
              <w:ind w:right="163"/>
              <w:jc w:val="right"/>
              <w:rPr>
                <w:rFonts w:ascii="Bookman Old Style" w:hAnsi="Bookman Old Style"/>
                <w:sz w:val="18"/>
                <w:szCs w:val="18"/>
                <w:lang w:val="id-ID"/>
              </w:rPr>
            </w:pPr>
            <w:r w:rsidRPr="00D6168E">
              <w:rPr>
                <w:rFonts w:ascii="Bookman Old Style" w:hAnsi="Bookman Old Style"/>
                <w:sz w:val="18"/>
                <w:szCs w:val="18"/>
                <w:lang w:val="id-ID"/>
              </w:rPr>
              <w:t>-</w:t>
            </w:r>
          </w:p>
        </w:tc>
      </w:tr>
      <w:tr w:rsidR="00905514" w:rsidRPr="000B199F" w14:paraId="1A6C0D91" w14:textId="77777777">
        <w:tc>
          <w:tcPr>
            <w:tcW w:w="5240" w:type="dxa"/>
            <w:gridSpan w:val="2"/>
            <w:shd w:val="clear" w:color="auto" w:fill="D9D9D9" w:themeFill="background1" w:themeFillShade="D9"/>
          </w:tcPr>
          <w:p w14:paraId="0D32C49D" w14:textId="77777777" w:rsidR="00905514" w:rsidRPr="00D6168E" w:rsidRDefault="00905514">
            <w:pPr>
              <w:pStyle w:val="BodyText"/>
              <w:spacing w:after="120" w:line="264" w:lineRule="auto"/>
              <w:ind w:right="163"/>
              <w:rPr>
                <w:rFonts w:ascii="Bookman Old Style" w:hAnsi="Bookman Old Style"/>
                <w:b/>
                <w:bCs/>
                <w:sz w:val="18"/>
                <w:szCs w:val="18"/>
                <w:lang w:val="id-ID"/>
              </w:rPr>
            </w:pPr>
            <w:r w:rsidRPr="00D6168E">
              <w:rPr>
                <w:rFonts w:ascii="Bookman Old Style" w:hAnsi="Bookman Old Style"/>
                <w:b/>
                <w:bCs/>
                <w:sz w:val="18"/>
                <w:szCs w:val="18"/>
                <w:lang w:val="id-ID"/>
              </w:rPr>
              <w:t>Total</w:t>
            </w:r>
          </w:p>
        </w:tc>
        <w:tc>
          <w:tcPr>
            <w:tcW w:w="1134" w:type="dxa"/>
            <w:shd w:val="clear" w:color="auto" w:fill="D9D9D9" w:themeFill="background1" w:themeFillShade="D9"/>
          </w:tcPr>
          <w:p w14:paraId="6FAD65D1" w14:textId="77777777" w:rsidR="00905514" w:rsidRPr="00D6168E" w:rsidRDefault="00905514">
            <w:pPr>
              <w:pStyle w:val="BodyText"/>
              <w:spacing w:after="120" w:line="264" w:lineRule="auto"/>
              <w:ind w:right="-110"/>
              <w:jc w:val="center"/>
              <w:rPr>
                <w:rFonts w:ascii="Bookman Old Style" w:hAnsi="Bookman Old Style"/>
                <w:b/>
                <w:bCs/>
                <w:sz w:val="18"/>
                <w:szCs w:val="18"/>
                <w:lang w:val="id-ID"/>
              </w:rPr>
            </w:pPr>
            <w:r w:rsidRPr="00D6168E">
              <w:rPr>
                <w:rFonts w:ascii="Bookman Old Style" w:hAnsi="Bookman Old Style"/>
                <w:b/>
                <w:bCs/>
                <w:sz w:val="18"/>
                <w:szCs w:val="18"/>
                <w:lang w:val="id-ID"/>
              </w:rPr>
              <w:t>109</w:t>
            </w:r>
          </w:p>
        </w:tc>
        <w:tc>
          <w:tcPr>
            <w:tcW w:w="2551" w:type="dxa"/>
            <w:shd w:val="clear" w:color="auto" w:fill="D9D9D9" w:themeFill="background1" w:themeFillShade="D9"/>
          </w:tcPr>
          <w:p w14:paraId="6A27F843" w14:textId="77777777" w:rsidR="00905514" w:rsidRPr="000B199F" w:rsidRDefault="00905514">
            <w:pPr>
              <w:pStyle w:val="BodyText"/>
              <w:spacing w:after="120" w:line="264" w:lineRule="auto"/>
              <w:ind w:right="163"/>
              <w:jc w:val="right"/>
              <w:rPr>
                <w:rFonts w:ascii="Bookman Old Style" w:hAnsi="Bookman Old Style"/>
                <w:b/>
                <w:bCs/>
                <w:sz w:val="18"/>
                <w:szCs w:val="18"/>
                <w:lang w:val="id-ID"/>
              </w:rPr>
            </w:pPr>
            <w:r w:rsidRPr="00D6168E">
              <w:rPr>
                <w:rFonts w:ascii="Bookman Old Style" w:hAnsi="Bookman Old Style"/>
                <w:b/>
                <w:bCs/>
                <w:sz w:val="18"/>
                <w:szCs w:val="18"/>
                <w:lang w:val="id-ID"/>
              </w:rPr>
              <w:t>Rp5.496.200.000,00</w:t>
            </w:r>
          </w:p>
        </w:tc>
      </w:tr>
    </w:tbl>
    <w:p w14:paraId="772CD704" w14:textId="77777777" w:rsidR="00D834A0" w:rsidRPr="007F541B" w:rsidRDefault="00D834A0" w:rsidP="00DB5475">
      <w:pPr>
        <w:pStyle w:val="BodyText"/>
        <w:spacing w:after="120" w:line="264" w:lineRule="auto"/>
        <w:ind w:right="163"/>
        <w:rPr>
          <w:rFonts w:ascii="Bookman Old Style" w:hAnsi="Bookman Old Style"/>
          <w:lang w:val="id-ID"/>
        </w:rPr>
      </w:pPr>
    </w:p>
    <w:p w14:paraId="56317598" w14:textId="1CBCE0E3" w:rsidR="00DB5475" w:rsidRPr="007F541B" w:rsidRDefault="00DB5475" w:rsidP="00D40404">
      <w:pPr>
        <w:spacing w:before="120" w:after="120" w:line="276" w:lineRule="auto"/>
        <w:jc w:val="both"/>
        <w:rPr>
          <w:rFonts w:ascii="Bookman Old Style" w:hAnsi="Bookman Old Style"/>
          <w:sz w:val="22"/>
          <w:szCs w:val="22"/>
          <w:lang w:val="id-ID"/>
        </w:rPr>
      </w:pPr>
      <w:r w:rsidRPr="007F541B">
        <w:rPr>
          <w:rFonts w:ascii="Bookman Old Style" w:hAnsi="Bookman Old Style"/>
          <w:b/>
          <w:sz w:val="22"/>
          <w:szCs w:val="22"/>
          <w:lang w:val="id-ID"/>
        </w:rPr>
        <w:t>Arah Kebijakan OJK </w:t>
      </w:r>
      <w:r w:rsidRPr="007F541B">
        <w:rPr>
          <w:rFonts w:ascii="Bookman Old Style" w:hAnsi="Bookman Old Style"/>
          <w:sz w:val="22"/>
          <w:szCs w:val="22"/>
          <w:lang w:val="id-ID"/>
        </w:rPr>
        <w:t> </w:t>
      </w:r>
    </w:p>
    <w:p w14:paraId="42793AA2" w14:textId="77777777" w:rsidR="00DB5475" w:rsidRPr="007F541B" w:rsidRDefault="00DB5475" w:rsidP="00DB5475">
      <w:pPr>
        <w:spacing w:line="276" w:lineRule="auto"/>
        <w:jc w:val="both"/>
        <w:rPr>
          <w:rFonts w:ascii="Bookman Old Style" w:hAnsi="Bookman Old Style"/>
          <w:sz w:val="22"/>
          <w:szCs w:val="22"/>
          <w:lang w:val="id-ID"/>
        </w:rPr>
      </w:pPr>
      <w:r w:rsidRPr="007F541B">
        <w:rPr>
          <w:rFonts w:ascii="Bookman Old Style" w:hAnsi="Bookman Old Style"/>
          <w:sz w:val="22"/>
          <w:szCs w:val="22"/>
          <w:lang w:val="id-ID"/>
        </w:rPr>
        <w:t>Dalam rangka menjaga stabilitas sektor jasa keuangan (SJK) dan meningkatkan peran SJK bagi pertumbuhan ekonomi nasional, OJK menempuh langkah-langkah kebijakan sebagai berikut: </w:t>
      </w:r>
    </w:p>
    <w:p w14:paraId="3FCB40B4" w14:textId="77777777" w:rsidR="00DB5475" w:rsidRPr="007F541B" w:rsidRDefault="00DB5475" w:rsidP="00DB5475">
      <w:pPr>
        <w:numPr>
          <w:ilvl w:val="0"/>
          <w:numId w:val="7"/>
        </w:numPr>
        <w:tabs>
          <w:tab w:val="clear" w:pos="720"/>
          <w:tab w:val="num" w:pos="426"/>
        </w:tabs>
        <w:spacing w:after="60" w:line="276" w:lineRule="auto"/>
        <w:ind w:hanging="720"/>
        <w:jc w:val="both"/>
        <w:rPr>
          <w:rFonts w:ascii="Bookman Old Style" w:hAnsi="Bookman Old Style"/>
          <w:sz w:val="22"/>
          <w:szCs w:val="22"/>
          <w:lang w:val="id-ID"/>
        </w:rPr>
      </w:pPr>
      <w:r w:rsidRPr="007F541B">
        <w:rPr>
          <w:rFonts w:ascii="Bookman Old Style" w:hAnsi="Bookman Old Style"/>
          <w:sz w:val="22"/>
          <w:szCs w:val="22"/>
          <w:u w:val="single"/>
          <w:lang w:val="id-ID"/>
        </w:rPr>
        <w:t>Kebijakan Menjaga Stabilitas Sistem Keuangan</w:t>
      </w:r>
      <w:r w:rsidRPr="007F541B">
        <w:rPr>
          <w:rFonts w:ascii="Bookman Old Style" w:hAnsi="Bookman Old Style"/>
          <w:sz w:val="22"/>
          <w:szCs w:val="22"/>
          <w:lang w:val="id-ID"/>
        </w:rPr>
        <w:t> </w:t>
      </w:r>
    </w:p>
    <w:p w14:paraId="2E202F9C" w14:textId="2A441217" w:rsidR="003702CB" w:rsidRPr="007F541B" w:rsidRDefault="00D71BE1" w:rsidP="00713535">
      <w:pPr>
        <w:spacing w:after="0" w:line="276" w:lineRule="auto"/>
        <w:ind w:left="425"/>
        <w:jc w:val="both"/>
        <w:rPr>
          <w:rFonts w:ascii="Bookman Old Style" w:hAnsi="Bookman Old Style"/>
          <w:sz w:val="22"/>
          <w:szCs w:val="22"/>
          <w:lang w:val="id-ID"/>
        </w:rPr>
      </w:pPr>
      <w:r w:rsidRPr="00CF75E8">
        <w:rPr>
          <w:rFonts w:ascii="Bookman Old Style" w:hAnsi="Bookman Old Style"/>
          <w:color w:val="000000" w:themeColor="text1"/>
          <w:sz w:val="22"/>
          <w:szCs w:val="22"/>
          <w:lang w:val="id-ID"/>
        </w:rPr>
        <w:t xml:space="preserve">OJK menyambut baik afirmasi peringkat kredit </w:t>
      </w:r>
      <w:r w:rsidRPr="00D6168E">
        <w:rPr>
          <w:rFonts w:ascii="Bookman Old Style" w:hAnsi="Bookman Old Style"/>
          <w:i/>
          <w:color w:val="000000" w:themeColor="text1"/>
          <w:sz w:val="22"/>
          <w:szCs w:val="22"/>
          <w:lang w:val="id-ID"/>
        </w:rPr>
        <w:t>sovereign</w:t>
      </w:r>
      <w:r w:rsidRPr="00CF75E8">
        <w:rPr>
          <w:rFonts w:ascii="Bookman Old Style" w:hAnsi="Bookman Old Style"/>
          <w:color w:val="000000" w:themeColor="text1"/>
          <w:sz w:val="22"/>
          <w:szCs w:val="22"/>
          <w:lang w:val="id-ID"/>
        </w:rPr>
        <w:t xml:space="preserve"> Indonesia oleh </w:t>
      </w:r>
      <w:r w:rsidRPr="00D6168E">
        <w:rPr>
          <w:rFonts w:ascii="Bookman Old Style" w:hAnsi="Bookman Old Style"/>
          <w:color w:val="000000" w:themeColor="text1"/>
          <w:sz w:val="22"/>
          <w:szCs w:val="22"/>
          <w:lang w:val="id-ID"/>
        </w:rPr>
        <w:t>Standard</w:t>
      </w:r>
      <w:r w:rsidRPr="00CF75E8">
        <w:rPr>
          <w:rFonts w:ascii="Bookman Old Style" w:hAnsi="Bookman Old Style"/>
          <w:color w:val="000000" w:themeColor="text1"/>
          <w:sz w:val="22"/>
          <w:szCs w:val="22"/>
          <w:lang w:val="id-ID"/>
        </w:rPr>
        <w:t xml:space="preserve"> and Poor’s (S&amp;P) Global Ratings pada level ‘BBB’ (jangka panjang) dan ‘A-2’ (jangka pendek) dengan </w:t>
      </w:r>
      <w:r w:rsidRPr="00D6168E">
        <w:rPr>
          <w:rFonts w:ascii="Bookman Old Style" w:hAnsi="Bookman Old Style"/>
          <w:i/>
          <w:color w:val="000000" w:themeColor="text1"/>
          <w:sz w:val="22"/>
          <w:szCs w:val="22"/>
          <w:lang w:val="id-ID"/>
        </w:rPr>
        <w:t>outlook</w:t>
      </w:r>
      <w:r w:rsidRPr="00CF75E8">
        <w:rPr>
          <w:rFonts w:ascii="Bookman Old Style" w:hAnsi="Bookman Old Style"/>
          <w:color w:val="000000" w:themeColor="text1"/>
          <w:sz w:val="22"/>
          <w:szCs w:val="22"/>
          <w:lang w:val="id-ID"/>
        </w:rPr>
        <w:t xml:space="preserve"> stabil. Penilaian ini mencerminkan kepercayaan yang terus terjaga terhadap kekuatan fiskal, ketahanan ekonomi, serta sektor keuangan Indonesia yang solid. </w:t>
      </w:r>
      <w:r w:rsidR="003702CB" w:rsidRPr="007F541B">
        <w:rPr>
          <w:rFonts w:ascii="Bookman Old Style" w:hAnsi="Bookman Old Style"/>
          <w:sz w:val="22"/>
          <w:szCs w:val="22"/>
          <w:lang w:val="id-ID"/>
        </w:rPr>
        <w:t>Selain itu, k</w:t>
      </w:r>
      <w:r w:rsidR="00240291" w:rsidRPr="007F541B">
        <w:rPr>
          <w:rFonts w:ascii="Bookman Old Style" w:hAnsi="Bookman Old Style"/>
          <w:sz w:val="22"/>
          <w:szCs w:val="22"/>
          <w:lang w:val="id-ID"/>
        </w:rPr>
        <w:t xml:space="preserve">inerja perekonomian global yang membaik, ketegangan perang dagang yang mereda, dan tercapainya kesepakatan perdagangan antara Pemerintah RI dan AS diharapkan dapat memberikan ruang optimalisasi kinerja intermediasi industri jasa keuangan bagi sektor prioritas dan sektor yang berpeluang mendapatkan dampak positif atas kepastian kesepakatan perdagangan. </w:t>
      </w:r>
    </w:p>
    <w:p w14:paraId="6ABD46A9" w14:textId="44E4F91C" w:rsidR="003C4B0B" w:rsidRPr="00CF75E8" w:rsidRDefault="00240291" w:rsidP="00D6168E">
      <w:pPr>
        <w:spacing w:before="120" w:after="0" w:line="276" w:lineRule="auto"/>
        <w:ind w:left="425"/>
        <w:jc w:val="both"/>
        <w:rPr>
          <w:rFonts w:ascii="Bookman Old Style" w:hAnsi="Bookman Old Style"/>
          <w:color w:val="000000" w:themeColor="text1"/>
          <w:sz w:val="22"/>
          <w:szCs w:val="22"/>
          <w:lang w:val="id-ID"/>
        </w:rPr>
      </w:pPr>
      <w:r w:rsidRPr="007F541B">
        <w:rPr>
          <w:rFonts w:ascii="Bookman Old Style" w:hAnsi="Bookman Old Style"/>
          <w:sz w:val="22"/>
          <w:szCs w:val="22"/>
          <w:lang w:val="id-ID"/>
        </w:rPr>
        <w:t>OJK mendukung penuh kebijakan dan fasilitasi yang diberikan Pemerintah dalam rangka meningkatkan daya saing industri dalam merealisasikan peluang-peluang yang ada, termasuk meningkatkan peran Lembaga Jasa Keuangan dalam skema pembiayaan untuk program prioritas Pemerintah dengan tetap menerapkan manajemen risiko dan tata kelola yang baik</w:t>
      </w:r>
      <w:r w:rsidR="00A65567">
        <w:rPr>
          <w:rFonts w:ascii="Bookman Old Style" w:hAnsi="Bookman Old Style"/>
          <w:sz w:val="22"/>
          <w:szCs w:val="22"/>
          <w:lang w:val="id-ID"/>
        </w:rPr>
        <w:t xml:space="preserve"> serta</w:t>
      </w:r>
      <w:r w:rsidR="003C4B0B" w:rsidRPr="00D6168E">
        <w:rPr>
          <w:rFonts w:ascii="Bookman Old Style" w:hAnsi="Bookman Old Style"/>
          <w:color w:val="000000" w:themeColor="text1"/>
          <w:sz w:val="22"/>
          <w:szCs w:val="22"/>
          <w:lang w:val="id-ID"/>
        </w:rPr>
        <w:t xml:space="preserve"> berfokus pada penguatan ekosistem jasa keuangan yang sehat, inklusif, dan kompetitif untuk mendorong pertumbuhan ekonomi yang berkelanjutan. </w:t>
      </w:r>
    </w:p>
    <w:p w14:paraId="454A6067" w14:textId="77777777" w:rsidR="00DB5475" w:rsidRPr="007F541B" w:rsidRDefault="00DB5475" w:rsidP="00DB5475">
      <w:pPr>
        <w:numPr>
          <w:ilvl w:val="0"/>
          <w:numId w:val="7"/>
        </w:numPr>
        <w:tabs>
          <w:tab w:val="clear" w:pos="720"/>
          <w:tab w:val="num" w:pos="426"/>
        </w:tabs>
        <w:spacing w:before="120" w:after="60" w:line="276" w:lineRule="auto"/>
        <w:ind w:left="425" w:hanging="425"/>
        <w:jc w:val="both"/>
        <w:rPr>
          <w:rFonts w:ascii="Bookman Old Style" w:hAnsi="Bookman Old Style"/>
          <w:sz w:val="22"/>
          <w:szCs w:val="22"/>
          <w:lang w:val="id-ID"/>
        </w:rPr>
      </w:pPr>
      <w:r w:rsidRPr="007F541B">
        <w:rPr>
          <w:rFonts w:ascii="Bookman Old Style" w:hAnsi="Bookman Old Style"/>
          <w:sz w:val="22"/>
          <w:szCs w:val="22"/>
          <w:u w:val="single"/>
          <w:lang w:val="id-ID"/>
        </w:rPr>
        <w:t>Kebijakan Pengembangan dan Penguatan Sektor Jasa Keuangan (SJK) serta Infrastruktur Pasar</w:t>
      </w:r>
      <w:r w:rsidRPr="007F541B">
        <w:rPr>
          <w:rFonts w:ascii="Bookman Old Style" w:hAnsi="Bookman Old Style"/>
          <w:sz w:val="22"/>
          <w:szCs w:val="22"/>
          <w:lang w:val="id-ID"/>
        </w:rPr>
        <w:t> </w:t>
      </w:r>
    </w:p>
    <w:p w14:paraId="207182A8" w14:textId="6E34129D" w:rsidR="00F17BAE" w:rsidRPr="000E2171" w:rsidRDefault="00F17BAE" w:rsidP="00D6168E">
      <w:pPr>
        <w:numPr>
          <w:ilvl w:val="0"/>
          <w:numId w:val="8"/>
        </w:numPr>
        <w:tabs>
          <w:tab w:val="clear" w:pos="720"/>
        </w:tabs>
        <w:spacing w:before="120" w:after="0" w:line="276" w:lineRule="auto"/>
        <w:ind w:left="709" w:hanging="284"/>
        <w:jc w:val="both"/>
        <w:rPr>
          <w:rFonts w:ascii="Bookman Old Style" w:hAnsi="Bookman Old Style"/>
          <w:color w:val="000000" w:themeColor="text1"/>
          <w:sz w:val="22"/>
          <w:szCs w:val="22"/>
          <w:lang w:val="id-ID"/>
        </w:rPr>
      </w:pPr>
      <w:r w:rsidRPr="00D6168E">
        <w:rPr>
          <w:rFonts w:ascii="Bookman Old Style" w:hAnsi="Bookman Old Style"/>
          <w:color w:val="000000" w:themeColor="text1"/>
          <w:sz w:val="22"/>
          <w:szCs w:val="22"/>
          <w:lang w:val="id-ID"/>
        </w:rPr>
        <w:t xml:space="preserve">Dalam rangka menciptakan kemudahan berusaha di bidang PVML guna peningkatan pembiayaan untuk mendukung pertumbuhan ekonomi, OJK </w:t>
      </w:r>
      <w:r w:rsidRPr="00D6168E">
        <w:rPr>
          <w:rFonts w:ascii="Bookman Old Style" w:hAnsi="Bookman Old Style"/>
          <w:color w:val="000000" w:themeColor="text1"/>
          <w:sz w:val="22"/>
          <w:szCs w:val="22"/>
          <w:lang w:val="id-ID"/>
        </w:rPr>
        <w:lastRenderedPageBreak/>
        <w:t>sedang mempersiapkan langkah-langkah deregulasi pengaturan secara terukur antara lain berupa</w:t>
      </w:r>
      <w:r w:rsidRPr="000E2171">
        <w:rPr>
          <w:rFonts w:ascii="Bookman Old Style" w:hAnsi="Bookman Old Style"/>
          <w:color w:val="000000" w:themeColor="text1"/>
          <w:sz w:val="22"/>
          <w:szCs w:val="22"/>
          <w:lang w:val="id-ID"/>
        </w:rPr>
        <w:t>:</w:t>
      </w:r>
    </w:p>
    <w:p w14:paraId="3DAE3B40" w14:textId="77777777" w:rsidR="00F17BAE" w:rsidRPr="000E2171" w:rsidRDefault="00F17BAE" w:rsidP="00F17BAE">
      <w:pPr>
        <w:pStyle w:val="ListParagraph"/>
        <w:numPr>
          <w:ilvl w:val="0"/>
          <w:numId w:val="47"/>
        </w:numPr>
        <w:spacing w:after="0" w:line="276" w:lineRule="auto"/>
        <w:ind w:left="1134" w:hanging="425"/>
        <w:jc w:val="both"/>
        <w:rPr>
          <w:rFonts w:ascii="Bookman Old Style" w:hAnsi="Bookman Old Style"/>
          <w:color w:val="000000" w:themeColor="text1"/>
          <w:sz w:val="22"/>
          <w:szCs w:val="22"/>
          <w:lang w:val="id-ID"/>
        </w:rPr>
      </w:pPr>
      <w:r w:rsidRPr="00D6168E">
        <w:rPr>
          <w:rFonts w:ascii="Bookman Old Style" w:hAnsi="Bookman Old Style"/>
          <w:color w:val="000000" w:themeColor="text1"/>
          <w:sz w:val="22"/>
          <w:szCs w:val="22"/>
          <w:lang w:val="id-ID"/>
        </w:rPr>
        <w:t>pelonggaran uang muka pembiayaan dan persyaratan fasilitas pendanaan pada perusahaan pembiayaan</w:t>
      </w:r>
      <w:r w:rsidRPr="000E2171">
        <w:rPr>
          <w:rFonts w:ascii="Bookman Old Style" w:hAnsi="Bookman Old Style"/>
          <w:color w:val="000000" w:themeColor="text1"/>
          <w:sz w:val="22"/>
          <w:szCs w:val="22"/>
          <w:lang w:val="id-ID"/>
        </w:rPr>
        <w:t>;</w:t>
      </w:r>
    </w:p>
    <w:p w14:paraId="3A03CF37" w14:textId="1628A4DA" w:rsidR="00F17BAE" w:rsidRPr="00D6168E" w:rsidRDefault="00F17BAE" w:rsidP="00F17BAE">
      <w:pPr>
        <w:pStyle w:val="ListParagraph"/>
        <w:numPr>
          <w:ilvl w:val="0"/>
          <w:numId w:val="47"/>
        </w:numPr>
        <w:spacing w:after="0" w:line="276" w:lineRule="auto"/>
        <w:ind w:left="1134" w:hanging="425"/>
        <w:jc w:val="both"/>
        <w:rPr>
          <w:rFonts w:ascii="Bookman Old Style" w:hAnsi="Bookman Old Style"/>
          <w:color w:val="000000" w:themeColor="text1"/>
          <w:sz w:val="22"/>
          <w:szCs w:val="22"/>
          <w:lang w:val="id-ID"/>
        </w:rPr>
      </w:pPr>
      <w:r w:rsidRPr="15B75780">
        <w:rPr>
          <w:rFonts w:ascii="Bookman Old Style" w:hAnsi="Bookman Old Style"/>
          <w:color w:val="000000" w:themeColor="text1"/>
          <w:sz w:val="22"/>
          <w:szCs w:val="22"/>
          <w:lang w:val="id-ID"/>
        </w:rPr>
        <w:t>kemudahan perizinan bagi usaha pergadaian dengan lingkup usaha kabupaten/kota</w:t>
      </w:r>
      <w:r w:rsidRPr="000E2171">
        <w:rPr>
          <w:rFonts w:ascii="Bookman Old Style" w:hAnsi="Bookman Old Style"/>
          <w:color w:val="000000" w:themeColor="text1"/>
          <w:sz w:val="22"/>
          <w:szCs w:val="22"/>
          <w:lang w:val="id-ID"/>
        </w:rPr>
        <w:t xml:space="preserve">; </w:t>
      </w:r>
      <w:r w:rsidRPr="15B75780">
        <w:rPr>
          <w:rFonts w:ascii="Bookman Old Style" w:hAnsi="Bookman Old Style"/>
          <w:color w:val="000000" w:themeColor="text1"/>
          <w:sz w:val="22"/>
          <w:szCs w:val="22"/>
          <w:lang w:val="id-ID"/>
        </w:rPr>
        <w:t>dan</w:t>
      </w:r>
    </w:p>
    <w:p w14:paraId="1BAFD48A" w14:textId="400E5C6E" w:rsidR="00F17BAE" w:rsidRPr="00D6168E" w:rsidRDefault="00F17BAE" w:rsidP="00D6168E">
      <w:pPr>
        <w:pStyle w:val="ListParagraph"/>
        <w:numPr>
          <w:ilvl w:val="0"/>
          <w:numId w:val="47"/>
        </w:numPr>
        <w:spacing w:after="0" w:line="276" w:lineRule="auto"/>
        <w:ind w:left="1134" w:hanging="425"/>
        <w:jc w:val="both"/>
        <w:rPr>
          <w:rFonts w:ascii="Bookman Old Style" w:hAnsi="Bookman Old Style"/>
          <w:color w:val="000000" w:themeColor="text1"/>
          <w:sz w:val="22"/>
          <w:szCs w:val="22"/>
          <w:lang w:val="id-ID"/>
        </w:rPr>
      </w:pPr>
      <w:r w:rsidRPr="00D6168E">
        <w:rPr>
          <w:rFonts w:ascii="Bookman Old Style" w:hAnsi="Bookman Old Style"/>
          <w:color w:val="000000" w:themeColor="text1"/>
          <w:sz w:val="22"/>
          <w:szCs w:val="22"/>
          <w:lang w:val="id-ID"/>
        </w:rPr>
        <w:t>penyesuaian waktu implementasi rasio permodalan terkait penetapan status pengawasan pada LKM</w:t>
      </w:r>
      <w:r>
        <w:rPr>
          <w:rFonts w:ascii="Bookman Old Style" w:hAnsi="Bookman Old Style"/>
          <w:color w:val="000000" w:themeColor="text1"/>
          <w:sz w:val="22"/>
          <w:szCs w:val="22"/>
          <w:lang w:val="id-ID"/>
        </w:rPr>
        <w:t>.</w:t>
      </w:r>
    </w:p>
    <w:p w14:paraId="516116F9" w14:textId="5AF7412C" w:rsidR="00DB5475" w:rsidRPr="007F541B" w:rsidRDefault="00DB5475" w:rsidP="00D6168E">
      <w:pPr>
        <w:numPr>
          <w:ilvl w:val="0"/>
          <w:numId w:val="8"/>
        </w:numPr>
        <w:tabs>
          <w:tab w:val="clear" w:pos="720"/>
        </w:tabs>
        <w:spacing w:before="120" w:after="0" w:line="276" w:lineRule="auto"/>
        <w:ind w:left="709" w:hanging="284"/>
        <w:jc w:val="both"/>
        <w:rPr>
          <w:rFonts w:ascii="Bookman Old Style" w:hAnsi="Bookman Old Style"/>
          <w:sz w:val="22"/>
          <w:szCs w:val="22"/>
          <w:lang w:val="id-ID"/>
        </w:rPr>
      </w:pPr>
      <w:r w:rsidRPr="007F541B">
        <w:rPr>
          <w:rFonts w:ascii="Bookman Old Style" w:hAnsi="Bookman Old Style"/>
          <w:sz w:val="22"/>
          <w:szCs w:val="22"/>
          <w:lang w:val="id-ID"/>
        </w:rPr>
        <w:t>OJK telah menetapkan atau menerbitkan:  </w:t>
      </w:r>
    </w:p>
    <w:p w14:paraId="345C6043" w14:textId="1095BCD8" w:rsidR="00DB5475" w:rsidRPr="007F541B" w:rsidRDefault="00EC443F" w:rsidP="00DB5475">
      <w:pPr>
        <w:pStyle w:val="ListParagraph"/>
        <w:numPr>
          <w:ilvl w:val="0"/>
          <w:numId w:val="9"/>
        </w:numPr>
        <w:tabs>
          <w:tab w:val="clear" w:pos="720"/>
        </w:tabs>
        <w:spacing w:after="60" w:line="276" w:lineRule="auto"/>
        <w:ind w:left="1134"/>
        <w:jc w:val="both"/>
        <w:rPr>
          <w:rFonts w:ascii="Bookman Old Style" w:hAnsi="Bookman Old Style"/>
          <w:sz w:val="22"/>
          <w:szCs w:val="22"/>
          <w:lang w:val="id-ID"/>
        </w:rPr>
      </w:pPr>
      <w:r w:rsidRPr="007F541B">
        <w:rPr>
          <w:rFonts w:ascii="Bookman Old Style" w:hAnsi="Bookman Old Style"/>
          <w:sz w:val="22"/>
          <w:szCs w:val="22"/>
          <w:lang w:val="id-ID"/>
        </w:rPr>
        <w:t>POJK Nomor 12 Tahun 2025 tentang Penerapan Manajemen Risiko dan Penilaian Tingkat Kesehatan Manajer Investasi</w:t>
      </w:r>
      <w:r w:rsidR="005B6774" w:rsidRPr="007F541B">
        <w:rPr>
          <w:rFonts w:ascii="Bookman Old Style" w:hAnsi="Bookman Old Style"/>
          <w:sz w:val="22"/>
          <w:szCs w:val="22"/>
          <w:lang w:val="id-ID"/>
        </w:rPr>
        <w:t>,</w:t>
      </w:r>
      <w:r w:rsidRPr="007F541B">
        <w:rPr>
          <w:rFonts w:ascii="Bookman Old Style" w:hAnsi="Bookman Old Style"/>
          <w:sz w:val="22"/>
          <w:szCs w:val="22"/>
          <w:lang w:val="id-ID"/>
        </w:rPr>
        <w:t xml:space="preserve"> di</w:t>
      </w:r>
      <w:r w:rsidR="005B6774" w:rsidRPr="007F541B">
        <w:rPr>
          <w:rFonts w:ascii="Bookman Old Style" w:hAnsi="Bookman Old Style"/>
          <w:sz w:val="22"/>
          <w:szCs w:val="22"/>
          <w:lang w:val="id-ID"/>
        </w:rPr>
        <w:t xml:space="preserve"> </w:t>
      </w:r>
      <w:r w:rsidRPr="007F541B">
        <w:rPr>
          <w:rFonts w:ascii="Bookman Old Style" w:hAnsi="Bookman Old Style"/>
          <w:sz w:val="22"/>
          <w:szCs w:val="22"/>
          <w:lang w:val="id-ID"/>
        </w:rPr>
        <w:t xml:space="preserve">mana ketentuan ini mengedepankan pendekatan pengawasan Manajer Investasi </w:t>
      </w:r>
      <w:r w:rsidR="00B35D78" w:rsidRPr="007F541B">
        <w:rPr>
          <w:rFonts w:ascii="Bookman Old Style" w:hAnsi="Bookman Old Style"/>
          <w:sz w:val="22"/>
          <w:szCs w:val="22"/>
          <w:lang w:val="id-ID"/>
        </w:rPr>
        <w:t>(MI)</w:t>
      </w:r>
      <w:r w:rsidRPr="007F541B">
        <w:rPr>
          <w:rFonts w:ascii="Bookman Old Style" w:hAnsi="Bookman Old Style"/>
          <w:sz w:val="22"/>
          <w:szCs w:val="22"/>
          <w:lang w:val="id-ID"/>
        </w:rPr>
        <w:t xml:space="preserve"> berdasarkan risiko (</w:t>
      </w:r>
      <w:r w:rsidRPr="007F541B">
        <w:rPr>
          <w:rFonts w:ascii="Bookman Old Style" w:hAnsi="Bookman Old Style"/>
          <w:i/>
          <w:iCs/>
          <w:sz w:val="22"/>
          <w:szCs w:val="22"/>
          <w:lang w:val="id-ID"/>
        </w:rPr>
        <w:t>Risk Based Supervision</w:t>
      </w:r>
      <w:r w:rsidRPr="007F541B">
        <w:rPr>
          <w:rFonts w:ascii="Bookman Old Style" w:hAnsi="Bookman Old Style"/>
          <w:sz w:val="22"/>
          <w:szCs w:val="22"/>
          <w:lang w:val="id-ID"/>
        </w:rPr>
        <w:t xml:space="preserve">) mengacu pada standar internasional yang berlaku yaitu </w:t>
      </w:r>
      <w:r w:rsidRPr="00746D7C">
        <w:rPr>
          <w:rFonts w:ascii="Bookman Old Style" w:hAnsi="Bookman Old Style"/>
          <w:i/>
          <w:iCs/>
          <w:sz w:val="22"/>
          <w:szCs w:val="22"/>
          <w:lang w:val="id-ID"/>
        </w:rPr>
        <w:t>International Organization of Securities</w:t>
      </w:r>
      <w:r w:rsidRPr="007F541B">
        <w:rPr>
          <w:rFonts w:ascii="Bookman Old Style" w:hAnsi="Bookman Old Style"/>
          <w:sz w:val="22"/>
          <w:szCs w:val="22"/>
          <w:lang w:val="id-ID"/>
        </w:rPr>
        <w:t xml:space="preserve"> </w:t>
      </w:r>
      <w:r w:rsidRPr="00746D7C">
        <w:rPr>
          <w:rFonts w:ascii="Bookman Old Style" w:hAnsi="Bookman Old Style"/>
          <w:i/>
          <w:iCs/>
          <w:sz w:val="22"/>
          <w:szCs w:val="22"/>
          <w:lang w:val="id-ID"/>
        </w:rPr>
        <w:t>Commissions</w:t>
      </w:r>
      <w:r w:rsidRPr="007F541B">
        <w:rPr>
          <w:rFonts w:ascii="Bookman Old Style" w:hAnsi="Bookman Old Style"/>
          <w:sz w:val="22"/>
          <w:szCs w:val="22"/>
          <w:lang w:val="id-ID"/>
        </w:rPr>
        <w:t xml:space="preserve"> (IOSCO). POJK ini mengatur antara lain kewajiban penerapan manajemen risiko dan penilaian TKS MI serta mekanisme pelaporan, sehingga diharapkan risiko signifikan dapat diidentifikasi sejak dini dan dapat diambil tindakan pengawasan yang sesuai dan tepat waktu.</w:t>
      </w:r>
    </w:p>
    <w:p w14:paraId="0A8CC6D1" w14:textId="218048EB" w:rsidR="00EC443F" w:rsidRPr="007F541B" w:rsidRDefault="008179F3" w:rsidP="00DB5475">
      <w:pPr>
        <w:pStyle w:val="ListParagraph"/>
        <w:numPr>
          <w:ilvl w:val="0"/>
          <w:numId w:val="9"/>
        </w:numPr>
        <w:tabs>
          <w:tab w:val="clear" w:pos="720"/>
        </w:tabs>
        <w:spacing w:after="60" w:line="276" w:lineRule="auto"/>
        <w:ind w:left="1134"/>
        <w:jc w:val="both"/>
        <w:rPr>
          <w:rFonts w:ascii="Bookman Old Style" w:hAnsi="Bookman Old Style"/>
          <w:sz w:val="22"/>
          <w:szCs w:val="22"/>
          <w:lang w:val="id-ID"/>
        </w:rPr>
      </w:pPr>
      <w:r w:rsidRPr="007F541B">
        <w:rPr>
          <w:rFonts w:ascii="Bookman Old Style" w:hAnsi="Bookman Old Style"/>
          <w:sz w:val="22"/>
          <w:szCs w:val="22"/>
          <w:lang w:val="id-ID"/>
        </w:rPr>
        <w:t xml:space="preserve">POJK Nomor 13 Tahun 2025 tentang Pengendalian Internal dan Perilaku Perusahaan Efek yang Melakukan Kegiatan Usaha Sebagai Penjamin Emisi Efek dan Perantara Pedagang Efek, yang antara lain mengatur kewajiban </w:t>
      </w:r>
      <w:r w:rsidR="00AD1500" w:rsidRPr="007F541B">
        <w:rPr>
          <w:rFonts w:ascii="Bookman Old Style" w:hAnsi="Bookman Old Style"/>
          <w:sz w:val="22"/>
          <w:szCs w:val="22"/>
          <w:lang w:val="id-ID"/>
        </w:rPr>
        <w:t xml:space="preserve">Perusahaan Efek </w:t>
      </w:r>
      <w:r w:rsidRPr="007F541B">
        <w:rPr>
          <w:rFonts w:ascii="Bookman Old Style" w:hAnsi="Bookman Old Style"/>
          <w:sz w:val="22"/>
          <w:szCs w:val="22"/>
          <w:lang w:val="id-ID"/>
        </w:rPr>
        <w:t xml:space="preserve">melakukan uji tuntas terhadap calon Emiten yang akan melakukan penawaran umum serta pengelolaan potensi benturan kepentingan. Diharapkan pengaturan ini dapat memperkuat aspek pelindungan investor di Pasar Modal dari aspek peningkatan kualitas Emiten, mitigasi benturan kepentingan dalam penawaran umum, penguatan fungsi-fungsi pada </w:t>
      </w:r>
      <w:r w:rsidR="00CD101B" w:rsidRPr="007F541B">
        <w:rPr>
          <w:rFonts w:ascii="Bookman Old Style" w:hAnsi="Bookman Old Style"/>
          <w:sz w:val="22"/>
          <w:szCs w:val="22"/>
          <w:lang w:val="id-ID"/>
        </w:rPr>
        <w:t>Penjamin Emisi Efek</w:t>
      </w:r>
      <w:r w:rsidRPr="007F541B">
        <w:rPr>
          <w:rFonts w:ascii="Bookman Old Style" w:hAnsi="Bookman Old Style"/>
          <w:sz w:val="22"/>
          <w:szCs w:val="22"/>
          <w:lang w:val="id-ID"/>
        </w:rPr>
        <w:t xml:space="preserve"> </w:t>
      </w:r>
      <w:r w:rsidR="000511A2" w:rsidRPr="007F541B">
        <w:rPr>
          <w:rFonts w:ascii="Bookman Old Style" w:hAnsi="Bookman Old Style"/>
          <w:sz w:val="22"/>
          <w:szCs w:val="22"/>
          <w:lang w:val="id-ID"/>
        </w:rPr>
        <w:t xml:space="preserve">dan </w:t>
      </w:r>
      <w:r w:rsidR="00CD101B" w:rsidRPr="007F541B">
        <w:rPr>
          <w:rFonts w:ascii="Bookman Old Style" w:hAnsi="Bookman Old Style"/>
          <w:sz w:val="22"/>
          <w:szCs w:val="22"/>
          <w:lang w:val="id-ID"/>
        </w:rPr>
        <w:t>Perantara Pedagang Efek</w:t>
      </w:r>
      <w:r w:rsidRPr="007F541B">
        <w:rPr>
          <w:rFonts w:ascii="Bookman Old Style" w:hAnsi="Bookman Old Style"/>
          <w:sz w:val="22"/>
          <w:szCs w:val="22"/>
          <w:lang w:val="id-ID"/>
        </w:rPr>
        <w:t>, maupun penggunaan media sosial dalam pelaksanaan kegiatan Perusahaan Efek</w:t>
      </w:r>
      <w:r w:rsidR="00763ABF" w:rsidRPr="007F541B">
        <w:rPr>
          <w:rFonts w:ascii="Bookman Old Style" w:hAnsi="Bookman Old Style"/>
          <w:sz w:val="22"/>
          <w:szCs w:val="22"/>
          <w:lang w:val="id-ID"/>
        </w:rPr>
        <w:t>.</w:t>
      </w:r>
    </w:p>
    <w:p w14:paraId="5D29A609" w14:textId="517A2FFE" w:rsidR="00A6724A" w:rsidRPr="007F541B" w:rsidRDefault="00A6724A" w:rsidP="00A6724A">
      <w:pPr>
        <w:pStyle w:val="ListParagraph"/>
        <w:numPr>
          <w:ilvl w:val="0"/>
          <w:numId w:val="9"/>
        </w:numPr>
        <w:tabs>
          <w:tab w:val="clear" w:pos="720"/>
        </w:tabs>
        <w:spacing w:after="60" w:line="276" w:lineRule="auto"/>
        <w:ind w:left="1134"/>
        <w:jc w:val="both"/>
        <w:rPr>
          <w:rFonts w:ascii="Bookman Old Style" w:hAnsi="Bookman Old Style"/>
          <w:sz w:val="22"/>
          <w:szCs w:val="22"/>
          <w:lang w:val="id-ID"/>
        </w:rPr>
      </w:pPr>
      <w:r w:rsidRPr="007F541B">
        <w:rPr>
          <w:rFonts w:ascii="Bookman Old Style" w:hAnsi="Bookman Old Style"/>
          <w:sz w:val="22"/>
          <w:szCs w:val="22"/>
          <w:lang w:val="id-ID"/>
        </w:rPr>
        <w:t xml:space="preserve">POJK Nomor 16 Tahun 2025 tentang Penilaian Kemampuan dan Kepatutan Pihak Utama dan Penilaian Kembali Pihak Utama di Sektor Inovasi Teknologi Sektor Keuangan </w:t>
      </w:r>
      <w:r w:rsidR="00EC486F" w:rsidRPr="007F541B">
        <w:rPr>
          <w:rFonts w:ascii="Bookman Old Style" w:hAnsi="Bookman Old Style"/>
          <w:sz w:val="22"/>
          <w:szCs w:val="22"/>
          <w:lang w:val="id-ID"/>
        </w:rPr>
        <w:t>s</w:t>
      </w:r>
      <w:r w:rsidRPr="007F541B">
        <w:rPr>
          <w:rFonts w:ascii="Bookman Old Style" w:hAnsi="Bookman Old Style"/>
          <w:sz w:val="22"/>
          <w:szCs w:val="22"/>
          <w:lang w:val="id-ID"/>
        </w:rPr>
        <w:t>erta Aset Keuangan Digital dan Aset Kripto, yang antara lain mengatur faktor-faktor, tata cara dan penetapan hasil Penilaian Kemampuan dan Kepatutan Pihak Utama, serta tata cara Penilaian Kembali Pihak Utama (PKPU), hasil akhir dan konsekuensi PKPU.</w:t>
      </w:r>
    </w:p>
    <w:p w14:paraId="4A437CD3" w14:textId="1E372B3B" w:rsidR="00006538" w:rsidRPr="007F541B" w:rsidRDefault="00006538" w:rsidP="00DB5475">
      <w:pPr>
        <w:pStyle w:val="ListParagraph"/>
        <w:numPr>
          <w:ilvl w:val="0"/>
          <w:numId w:val="9"/>
        </w:numPr>
        <w:tabs>
          <w:tab w:val="clear" w:pos="720"/>
        </w:tabs>
        <w:spacing w:after="60" w:line="276" w:lineRule="auto"/>
        <w:ind w:left="1134"/>
        <w:jc w:val="both"/>
        <w:rPr>
          <w:rFonts w:ascii="Bookman Old Style" w:hAnsi="Bookman Old Style"/>
          <w:sz w:val="22"/>
          <w:szCs w:val="22"/>
          <w:lang w:val="id-ID"/>
        </w:rPr>
      </w:pPr>
      <w:r w:rsidRPr="007F541B">
        <w:rPr>
          <w:rFonts w:ascii="Bookman Old Style" w:hAnsi="Bookman Old Style"/>
          <w:sz w:val="22"/>
          <w:szCs w:val="22"/>
          <w:lang w:val="id-ID"/>
        </w:rPr>
        <w:t xml:space="preserve">SEOJK </w:t>
      </w:r>
      <w:r w:rsidR="009F4C8D" w:rsidRPr="007F541B">
        <w:rPr>
          <w:rFonts w:ascii="Bookman Old Style" w:hAnsi="Bookman Old Style"/>
          <w:sz w:val="22"/>
          <w:szCs w:val="22"/>
          <w:lang w:val="id-ID"/>
        </w:rPr>
        <w:t xml:space="preserve">Nomor </w:t>
      </w:r>
      <w:r w:rsidR="00306C76" w:rsidRPr="007F541B">
        <w:rPr>
          <w:rFonts w:ascii="Bookman Old Style" w:hAnsi="Bookman Old Style"/>
          <w:sz w:val="22"/>
          <w:szCs w:val="22"/>
          <w:lang w:val="id-ID"/>
        </w:rPr>
        <w:t>16/SEOJK.0</w:t>
      </w:r>
      <w:r w:rsidR="002C2A95" w:rsidRPr="007F541B">
        <w:rPr>
          <w:rFonts w:ascii="Bookman Old Style" w:hAnsi="Bookman Old Style"/>
          <w:sz w:val="22"/>
          <w:szCs w:val="22"/>
          <w:lang w:val="id-ID"/>
        </w:rPr>
        <w:t>7</w:t>
      </w:r>
      <w:r w:rsidR="00306C76" w:rsidRPr="007F541B">
        <w:rPr>
          <w:rFonts w:ascii="Bookman Old Style" w:hAnsi="Bookman Old Style"/>
          <w:sz w:val="22"/>
          <w:szCs w:val="22"/>
          <w:lang w:val="id-ID"/>
        </w:rPr>
        <w:t xml:space="preserve">/2025 </w:t>
      </w:r>
      <w:r w:rsidR="003C46BE" w:rsidRPr="007F541B">
        <w:rPr>
          <w:rFonts w:ascii="Bookman Old Style" w:hAnsi="Bookman Old Style"/>
          <w:sz w:val="22"/>
          <w:szCs w:val="22"/>
          <w:lang w:val="id-ID"/>
        </w:rPr>
        <w:t xml:space="preserve"> tentang</w:t>
      </w:r>
      <w:r w:rsidR="009F4C8D" w:rsidRPr="007F541B">
        <w:rPr>
          <w:rFonts w:ascii="Bookman Old Style" w:hAnsi="Bookman Old Style"/>
          <w:sz w:val="22"/>
          <w:szCs w:val="22"/>
          <w:lang w:val="id-ID"/>
        </w:rPr>
        <w:t xml:space="preserve"> </w:t>
      </w:r>
      <w:r w:rsidRPr="007F541B">
        <w:rPr>
          <w:rFonts w:ascii="Bookman Old Style" w:hAnsi="Bookman Old Style"/>
          <w:sz w:val="22"/>
          <w:szCs w:val="22"/>
          <w:lang w:val="id-ID"/>
        </w:rPr>
        <w:t xml:space="preserve">Penerapan Program Anti Pencucian Uang, Pencegahan Pendanaan Terorisme, </w:t>
      </w:r>
      <w:r w:rsidR="00001A29" w:rsidRPr="007F541B">
        <w:rPr>
          <w:rFonts w:ascii="Bookman Old Style" w:hAnsi="Bookman Old Style"/>
          <w:sz w:val="22"/>
          <w:szCs w:val="22"/>
          <w:lang w:val="id-ID"/>
        </w:rPr>
        <w:t>d</w:t>
      </w:r>
      <w:r w:rsidRPr="007F541B">
        <w:rPr>
          <w:rFonts w:ascii="Bookman Old Style" w:hAnsi="Bookman Old Style"/>
          <w:sz w:val="22"/>
          <w:szCs w:val="22"/>
          <w:lang w:val="id-ID"/>
        </w:rPr>
        <w:t xml:space="preserve">an Pencegahan Pendanaan Proliferasi Senjata Pemusnah Massal (APU, PPT, PPSPM) </w:t>
      </w:r>
      <w:r w:rsidR="00093609" w:rsidRPr="007F541B">
        <w:rPr>
          <w:rFonts w:ascii="Bookman Old Style" w:hAnsi="Bookman Old Style"/>
          <w:sz w:val="22"/>
          <w:szCs w:val="22"/>
          <w:lang w:val="id-ID"/>
        </w:rPr>
        <w:t>b</w:t>
      </w:r>
      <w:r w:rsidRPr="007F541B">
        <w:rPr>
          <w:rFonts w:ascii="Bookman Old Style" w:hAnsi="Bookman Old Style"/>
          <w:sz w:val="22"/>
          <w:szCs w:val="22"/>
          <w:lang w:val="id-ID"/>
        </w:rPr>
        <w:t xml:space="preserve">agi Pedagang Aset Keuangan Digital, sebagai peraturan pelaksanaan dari POJK Nomor 8 Tahun 2023 tentang Penerapan APU, PPT, dan PPSPM di </w:t>
      </w:r>
      <w:r w:rsidR="0019105F">
        <w:rPr>
          <w:rFonts w:ascii="Bookman Old Style" w:hAnsi="Bookman Old Style"/>
          <w:sz w:val="22"/>
          <w:szCs w:val="22"/>
          <w:lang w:val="id-ID"/>
        </w:rPr>
        <w:t>SJK</w:t>
      </w:r>
      <w:r w:rsidRPr="007F541B">
        <w:rPr>
          <w:rFonts w:ascii="Bookman Old Style" w:hAnsi="Bookman Old Style"/>
          <w:sz w:val="22"/>
          <w:szCs w:val="22"/>
          <w:lang w:val="id-ID"/>
        </w:rPr>
        <w:t>. SEOJK ini mengatur hal-hal yang meliputi penerapan program APU, PPT, dan PPSPM berbasis risiko (</w:t>
      </w:r>
      <w:r w:rsidRPr="007F541B">
        <w:rPr>
          <w:rFonts w:ascii="Bookman Old Style" w:hAnsi="Bookman Old Style"/>
          <w:i/>
          <w:iCs/>
          <w:sz w:val="22"/>
          <w:szCs w:val="22"/>
          <w:lang w:val="id-ID"/>
        </w:rPr>
        <w:t>risk-based approach</w:t>
      </w:r>
      <w:r w:rsidRPr="007F541B">
        <w:rPr>
          <w:rFonts w:ascii="Bookman Old Style" w:hAnsi="Bookman Old Style"/>
          <w:sz w:val="22"/>
          <w:szCs w:val="22"/>
          <w:lang w:val="id-ID"/>
        </w:rPr>
        <w:t xml:space="preserve">), pengawasan aktif </w:t>
      </w:r>
      <w:r w:rsidR="004947F1" w:rsidRPr="007F541B">
        <w:rPr>
          <w:rFonts w:ascii="Bookman Old Style" w:hAnsi="Bookman Old Style"/>
          <w:sz w:val="22"/>
          <w:szCs w:val="22"/>
          <w:lang w:val="id-ID"/>
        </w:rPr>
        <w:t xml:space="preserve">Direksi </w:t>
      </w:r>
      <w:r w:rsidRPr="007F541B">
        <w:rPr>
          <w:rFonts w:ascii="Bookman Old Style" w:hAnsi="Bookman Old Style"/>
          <w:sz w:val="22"/>
          <w:szCs w:val="22"/>
          <w:lang w:val="id-ID"/>
        </w:rPr>
        <w:t xml:space="preserve">dan </w:t>
      </w:r>
      <w:r w:rsidR="004947F1" w:rsidRPr="007F541B">
        <w:rPr>
          <w:rFonts w:ascii="Bookman Old Style" w:hAnsi="Bookman Old Style"/>
          <w:sz w:val="22"/>
          <w:szCs w:val="22"/>
          <w:lang w:val="id-ID"/>
        </w:rPr>
        <w:t>Dewan Komisaris</w:t>
      </w:r>
      <w:r w:rsidRPr="007F541B">
        <w:rPr>
          <w:rFonts w:ascii="Bookman Old Style" w:hAnsi="Bookman Old Style"/>
          <w:sz w:val="22"/>
          <w:szCs w:val="22"/>
          <w:lang w:val="id-ID"/>
        </w:rPr>
        <w:t xml:space="preserve">, kebijakan dan prosedur, pengendalian internal, sistem informasi manajemen, </w:t>
      </w:r>
      <w:r w:rsidR="003574CC" w:rsidRPr="007F541B">
        <w:rPr>
          <w:rFonts w:ascii="Bookman Old Style" w:hAnsi="Bookman Old Style"/>
          <w:sz w:val="22"/>
          <w:szCs w:val="22"/>
          <w:lang w:val="id-ID"/>
        </w:rPr>
        <w:t>sumber daya manusia</w:t>
      </w:r>
      <w:r w:rsidRPr="007F541B">
        <w:rPr>
          <w:rFonts w:ascii="Bookman Old Style" w:hAnsi="Bookman Old Style"/>
          <w:sz w:val="22"/>
          <w:szCs w:val="22"/>
          <w:lang w:val="id-ID"/>
        </w:rPr>
        <w:t>, serta pelaporan bagi Pedagang Aset Keuangan Digital</w:t>
      </w:r>
      <w:r w:rsidR="006864F7" w:rsidRPr="007F541B">
        <w:rPr>
          <w:rFonts w:ascii="Bookman Old Style" w:hAnsi="Bookman Old Style"/>
          <w:sz w:val="22"/>
          <w:szCs w:val="22"/>
          <w:lang w:val="id-ID"/>
        </w:rPr>
        <w:t>.</w:t>
      </w:r>
    </w:p>
    <w:p w14:paraId="350B9A37" w14:textId="77777777" w:rsidR="000833FF" w:rsidRPr="007F541B" w:rsidRDefault="000833FF" w:rsidP="000833FF">
      <w:pPr>
        <w:pStyle w:val="ListParagraph"/>
        <w:numPr>
          <w:ilvl w:val="0"/>
          <w:numId w:val="9"/>
        </w:numPr>
        <w:tabs>
          <w:tab w:val="clear" w:pos="720"/>
        </w:tabs>
        <w:spacing w:after="60" w:line="276" w:lineRule="auto"/>
        <w:ind w:left="1134"/>
        <w:jc w:val="both"/>
        <w:rPr>
          <w:rFonts w:ascii="Bookman Old Style" w:hAnsi="Bookman Old Style"/>
          <w:sz w:val="22"/>
          <w:szCs w:val="22"/>
          <w:lang w:val="id-ID"/>
        </w:rPr>
      </w:pPr>
      <w:r w:rsidRPr="007F541B">
        <w:rPr>
          <w:rFonts w:ascii="Bookman Old Style" w:hAnsi="Bookman Old Style"/>
          <w:sz w:val="22"/>
          <w:szCs w:val="22"/>
          <w:lang w:val="id-ID"/>
        </w:rPr>
        <w:lastRenderedPageBreak/>
        <w:t>SEOJK Nomor 17/SEOJK.06/2025 tentang Laporan Bulanan Perusahaan Pergadaian dan Perusahaan Pergadaian Syariah sebagai ketentuan pelaksanaan POJK Nomor 39 Tahun 2024 tentang Pergadaian, yang mengatur antara lain mengenai bentuk, susunan, dan tata cara penyampaian laporan bulanan bagi perusahaan pergadaian dan perusahaan pergadaian syariah.</w:t>
      </w:r>
    </w:p>
    <w:p w14:paraId="36F02FFF" w14:textId="4582408A" w:rsidR="00763ABF" w:rsidRPr="007F541B" w:rsidRDefault="00763ABF" w:rsidP="00DB5475">
      <w:pPr>
        <w:pStyle w:val="ListParagraph"/>
        <w:numPr>
          <w:ilvl w:val="0"/>
          <w:numId w:val="9"/>
        </w:numPr>
        <w:tabs>
          <w:tab w:val="clear" w:pos="720"/>
        </w:tabs>
        <w:spacing w:after="60" w:line="276" w:lineRule="auto"/>
        <w:ind w:left="1134"/>
        <w:jc w:val="both"/>
        <w:rPr>
          <w:rFonts w:ascii="Bookman Old Style" w:hAnsi="Bookman Old Style"/>
          <w:sz w:val="22"/>
          <w:szCs w:val="22"/>
          <w:lang w:val="id-ID"/>
        </w:rPr>
      </w:pPr>
      <w:r w:rsidRPr="007F541B">
        <w:rPr>
          <w:rFonts w:ascii="Bookman Old Style" w:hAnsi="Bookman Old Style"/>
          <w:sz w:val="22"/>
          <w:szCs w:val="22"/>
          <w:lang w:val="id-ID"/>
        </w:rPr>
        <w:t xml:space="preserve">Buku “Mengenal dan Memahami Perdagangan Karbon bagi Sektor Jasa Keuangan" sebagai bagian dari upaya strategis memperkuat peran </w:t>
      </w:r>
      <w:r w:rsidR="0019105F">
        <w:rPr>
          <w:rFonts w:ascii="Bookman Old Style" w:hAnsi="Bookman Old Style"/>
          <w:sz w:val="22"/>
          <w:szCs w:val="22"/>
          <w:lang w:val="id-ID"/>
        </w:rPr>
        <w:t>SJK</w:t>
      </w:r>
      <w:r w:rsidRPr="007F541B">
        <w:rPr>
          <w:rFonts w:ascii="Bookman Old Style" w:hAnsi="Bookman Old Style"/>
          <w:sz w:val="22"/>
          <w:szCs w:val="22"/>
          <w:lang w:val="id-ID"/>
        </w:rPr>
        <w:t xml:space="preserve"> dalam mendukung agenda transisi menuju ekonomi hijau dan pembangunan rendah karbon. Buku ini disusun untuk memberikan pemahaman komprehensif dan aplikatif mengenai prinsip dasar, regulasi, dan mekanisme perdagangan karbon, termasuk potensi, tantangan, dan peran strategis </w:t>
      </w:r>
      <w:r w:rsidR="00354900">
        <w:rPr>
          <w:rFonts w:ascii="Bookman Old Style" w:hAnsi="Bookman Old Style"/>
          <w:sz w:val="22"/>
          <w:szCs w:val="22"/>
          <w:lang w:val="id-ID"/>
        </w:rPr>
        <w:t xml:space="preserve">SJK </w:t>
      </w:r>
      <w:r w:rsidRPr="007F541B">
        <w:rPr>
          <w:rFonts w:ascii="Bookman Old Style" w:hAnsi="Bookman Old Style"/>
          <w:sz w:val="22"/>
          <w:szCs w:val="22"/>
          <w:lang w:val="id-ID"/>
        </w:rPr>
        <w:t>dalam membangun ekosistem pasar karbon nasional maupun global yang kredibel dan berintegritas.</w:t>
      </w:r>
    </w:p>
    <w:p w14:paraId="2FB3352A" w14:textId="77777777" w:rsidR="00DB5475" w:rsidRPr="007F541B" w:rsidRDefault="00DB5475" w:rsidP="00DB5475">
      <w:pPr>
        <w:pStyle w:val="ListParagraph"/>
        <w:numPr>
          <w:ilvl w:val="0"/>
          <w:numId w:val="8"/>
        </w:numPr>
        <w:spacing w:before="120" w:after="0" w:line="276" w:lineRule="auto"/>
        <w:ind w:left="714" w:hanging="357"/>
        <w:contextualSpacing w:val="0"/>
        <w:jc w:val="both"/>
        <w:rPr>
          <w:rFonts w:ascii="Bookman Old Style" w:hAnsi="Bookman Old Style"/>
          <w:sz w:val="22"/>
          <w:szCs w:val="22"/>
          <w:lang w:val="id-ID"/>
        </w:rPr>
      </w:pPr>
      <w:r w:rsidRPr="007F541B">
        <w:rPr>
          <w:rFonts w:ascii="Bookman Old Style" w:hAnsi="Bookman Old Style"/>
          <w:sz w:val="22"/>
          <w:szCs w:val="22"/>
          <w:lang w:val="id-ID"/>
        </w:rPr>
        <w:t>OJK sedang menyusun:</w:t>
      </w:r>
    </w:p>
    <w:p w14:paraId="4DFE0BAE" w14:textId="4D511CE6" w:rsidR="00652F32" w:rsidRPr="007F541B" w:rsidRDefault="00652F32" w:rsidP="00652F32">
      <w:pPr>
        <w:pStyle w:val="ListParagraph"/>
        <w:numPr>
          <w:ilvl w:val="0"/>
          <w:numId w:val="14"/>
        </w:numPr>
        <w:spacing w:after="60" w:line="276" w:lineRule="auto"/>
        <w:ind w:left="1134"/>
        <w:jc w:val="both"/>
        <w:rPr>
          <w:rFonts w:ascii="Bookman Old Style" w:hAnsi="Bookman Old Style"/>
          <w:sz w:val="22"/>
          <w:szCs w:val="22"/>
          <w:lang w:val="id-ID"/>
        </w:rPr>
      </w:pPr>
      <w:r w:rsidRPr="007F541B">
        <w:rPr>
          <w:rFonts w:ascii="Bookman Old Style" w:hAnsi="Bookman Old Style"/>
          <w:sz w:val="22"/>
          <w:szCs w:val="22"/>
          <w:lang w:val="id-ID"/>
        </w:rPr>
        <w:t>RPOJK tentang Reksa Dana Berbentuk Kontrak Investasi Kolektif yang Unit Penyertaannya Diperdagangkan di Bursa Efek dengan Aset yang Mendasari Berupa Emas (ETF Emas). RPOJK ini disusun dalam rangka memberikan alternatif instrumen investasi baru bagi pelaku pasar, sehingga diharapkan dapat mendukung tercapainya target pendalaman pasar yang selaras dengan arah pengembangan industri Pasar Modal ke depan</w:t>
      </w:r>
      <w:r w:rsidR="001F0254" w:rsidRPr="007F541B">
        <w:rPr>
          <w:rFonts w:ascii="Bookman Old Style" w:hAnsi="Bookman Old Style"/>
          <w:sz w:val="22"/>
          <w:szCs w:val="22"/>
          <w:lang w:val="id-ID"/>
        </w:rPr>
        <w:t>,</w:t>
      </w:r>
      <w:r w:rsidRPr="007F541B">
        <w:rPr>
          <w:rFonts w:ascii="Bookman Old Style" w:hAnsi="Bookman Old Style"/>
          <w:sz w:val="22"/>
          <w:szCs w:val="22"/>
          <w:lang w:val="id-ID"/>
        </w:rPr>
        <w:t xml:space="preserve"> sehingga akan memperluas akses investor terhadap pasar emas tanpa harus memiliki emas fisik</w:t>
      </w:r>
      <w:r w:rsidR="00B61429" w:rsidRPr="007F541B">
        <w:rPr>
          <w:rFonts w:ascii="Bookman Old Style" w:hAnsi="Bookman Old Style"/>
          <w:sz w:val="22"/>
          <w:szCs w:val="22"/>
          <w:lang w:val="id-ID"/>
        </w:rPr>
        <w:t>.</w:t>
      </w:r>
    </w:p>
    <w:p w14:paraId="1B52B5B5" w14:textId="6AE064CB" w:rsidR="00B61429" w:rsidRPr="007F541B" w:rsidRDefault="00B61429" w:rsidP="00652F32">
      <w:pPr>
        <w:pStyle w:val="ListParagraph"/>
        <w:numPr>
          <w:ilvl w:val="0"/>
          <w:numId w:val="14"/>
        </w:numPr>
        <w:spacing w:after="60" w:line="276" w:lineRule="auto"/>
        <w:ind w:left="1134"/>
        <w:jc w:val="both"/>
        <w:rPr>
          <w:rFonts w:ascii="Bookman Old Style" w:hAnsi="Bookman Old Style"/>
          <w:sz w:val="22"/>
          <w:szCs w:val="22"/>
          <w:lang w:val="id-ID"/>
        </w:rPr>
      </w:pPr>
      <w:r w:rsidRPr="007F541B">
        <w:rPr>
          <w:rFonts w:ascii="Bookman Old Style" w:hAnsi="Bookman Old Style"/>
          <w:sz w:val="22"/>
          <w:szCs w:val="22"/>
          <w:lang w:val="id-ID"/>
        </w:rPr>
        <w:t xml:space="preserve">RPOJK tentang Integritas Pelaporan Keuangan Lembaga Pembiayaan, Perusahaan Modal Ventura, Lembaga Keuangan Mikro, dan Lembaga Jasa Keuangan Lainnya (RPOJK IPK PVML), yang mengatur mengenai kewajiban memiliki proses pelaporan keuangan yang berintegritas untuk memastikan kebenaran, keakuratan serta transparansi </w:t>
      </w:r>
      <w:r w:rsidR="005D6269" w:rsidRPr="007F541B">
        <w:rPr>
          <w:rFonts w:ascii="Bookman Old Style" w:hAnsi="Bookman Old Style"/>
          <w:sz w:val="22"/>
          <w:szCs w:val="22"/>
          <w:lang w:val="id-ID"/>
        </w:rPr>
        <w:t>i</w:t>
      </w:r>
      <w:r w:rsidRPr="007F541B">
        <w:rPr>
          <w:rFonts w:ascii="Bookman Old Style" w:hAnsi="Bookman Old Style"/>
          <w:sz w:val="22"/>
          <w:szCs w:val="22"/>
          <w:lang w:val="id-ID"/>
        </w:rPr>
        <w:t xml:space="preserve">nformasi </w:t>
      </w:r>
      <w:r w:rsidR="005D6269" w:rsidRPr="007F541B">
        <w:rPr>
          <w:rFonts w:ascii="Bookman Old Style" w:hAnsi="Bookman Old Style"/>
          <w:sz w:val="22"/>
          <w:szCs w:val="22"/>
          <w:lang w:val="id-ID"/>
        </w:rPr>
        <w:t xml:space="preserve">keuangan </w:t>
      </w:r>
      <w:r w:rsidRPr="007F541B">
        <w:rPr>
          <w:rFonts w:ascii="Bookman Old Style" w:hAnsi="Bookman Old Style"/>
          <w:sz w:val="22"/>
          <w:szCs w:val="22"/>
          <w:lang w:val="id-ID"/>
        </w:rPr>
        <w:t>dalam Laporan Keuangan yang dihasilkan. Selain itu, diatur juga antara lain mengenai tugas dan tanggung jawab Direksi, Dewan Komisaris, dan Komite Audit serta peran Pemegang Saham Pengendali dan Pihak Terafiliasi dalam proses pelaporan keuangan.</w:t>
      </w:r>
    </w:p>
    <w:p w14:paraId="2756F694" w14:textId="2F0FEAD3" w:rsidR="001541F0" w:rsidRDefault="001541F0" w:rsidP="00D6168E">
      <w:pPr>
        <w:pStyle w:val="ListParagraph"/>
        <w:numPr>
          <w:ilvl w:val="0"/>
          <w:numId w:val="14"/>
        </w:numPr>
        <w:spacing w:after="60" w:line="276" w:lineRule="auto"/>
        <w:ind w:left="1134"/>
        <w:jc w:val="both"/>
        <w:rPr>
          <w:rFonts w:ascii="Bookman Old Style" w:hAnsi="Bookman Old Style" w:cs="Segoe UI"/>
          <w:noProof/>
          <w:sz w:val="22"/>
          <w:szCs w:val="22"/>
          <w:lang w:val="id-ID"/>
        </w:rPr>
      </w:pPr>
      <w:r>
        <w:rPr>
          <w:rFonts w:ascii="Bookman Old Style" w:hAnsi="Bookman Old Style" w:cs="Segoe UI"/>
          <w:noProof/>
          <w:sz w:val="22"/>
          <w:szCs w:val="22"/>
          <w:lang w:val="id-ID"/>
        </w:rPr>
        <w:t xml:space="preserve">OJK sedang memfinalisasi rancangan </w:t>
      </w:r>
      <w:bookmarkStart w:id="1" w:name="_Hlk204882836"/>
      <w:r>
        <w:rPr>
          <w:rFonts w:ascii="Bookman Old Style" w:hAnsi="Bookman Old Style" w:cs="Segoe UI"/>
          <w:noProof/>
          <w:sz w:val="22"/>
          <w:szCs w:val="22"/>
          <w:lang w:val="id-ID"/>
        </w:rPr>
        <w:t xml:space="preserve">perubahan POJK Nomor 27 </w:t>
      </w:r>
      <w:r w:rsidRPr="00D6168E">
        <w:rPr>
          <w:rFonts w:ascii="Bookman Old Style" w:hAnsi="Bookman Old Style"/>
          <w:sz w:val="22"/>
          <w:szCs w:val="22"/>
          <w:lang w:val="id-ID"/>
        </w:rPr>
        <w:t>Tahun</w:t>
      </w:r>
      <w:r>
        <w:rPr>
          <w:rFonts w:ascii="Bookman Old Style" w:hAnsi="Bookman Old Style" w:cs="Segoe UI"/>
          <w:noProof/>
          <w:sz w:val="22"/>
          <w:szCs w:val="22"/>
          <w:lang w:val="id-ID"/>
        </w:rPr>
        <w:t xml:space="preserve"> 2024 tentang Penyelenggaraan Perdagangan Aset Keuangan Digital dan Aset Kripto</w:t>
      </w:r>
      <w:bookmarkEnd w:id="1"/>
      <w:r w:rsidR="001B4F8C">
        <w:rPr>
          <w:rFonts w:ascii="Bookman Old Style" w:hAnsi="Bookman Old Style" w:cs="Segoe UI"/>
          <w:noProof/>
          <w:sz w:val="22"/>
          <w:szCs w:val="22"/>
          <w:lang w:val="id-ID"/>
        </w:rPr>
        <w:t xml:space="preserve">, </w:t>
      </w:r>
      <w:r>
        <w:rPr>
          <w:rFonts w:ascii="Bookman Old Style" w:hAnsi="Bookman Old Style" w:cs="Segoe UI"/>
          <w:noProof/>
          <w:sz w:val="22"/>
          <w:szCs w:val="22"/>
          <w:lang w:val="id-ID"/>
        </w:rPr>
        <w:t xml:space="preserve">untuk melengkapi ketentuan dengan norma – norma yang </w:t>
      </w:r>
      <w:bookmarkStart w:id="2" w:name="_Hlk204882868"/>
      <w:r>
        <w:rPr>
          <w:rFonts w:ascii="Bookman Old Style" w:hAnsi="Bookman Old Style" w:cs="Segoe UI"/>
          <w:noProof/>
          <w:sz w:val="22"/>
          <w:szCs w:val="22"/>
          <w:lang w:val="id-ID"/>
        </w:rPr>
        <w:t>mengatur terkait aktivitas perdagangan derivatif AKD-AK</w:t>
      </w:r>
      <w:bookmarkEnd w:id="2"/>
      <w:r>
        <w:rPr>
          <w:rFonts w:ascii="Bookman Old Style" w:hAnsi="Bookman Old Style" w:cs="Segoe UI"/>
          <w:noProof/>
          <w:sz w:val="22"/>
          <w:szCs w:val="22"/>
          <w:lang w:val="id-ID"/>
        </w:rPr>
        <w:t xml:space="preserve"> yang fungsi pengaturan dan pengawasannya telah beralih dari Bappebti kepada OJK.</w:t>
      </w:r>
    </w:p>
    <w:p w14:paraId="1006ADF2" w14:textId="4440FDE8" w:rsidR="00DB5475" w:rsidRPr="007F541B" w:rsidRDefault="0080178D" w:rsidP="00D15FBA">
      <w:pPr>
        <w:pStyle w:val="ListParagraph"/>
        <w:numPr>
          <w:ilvl w:val="0"/>
          <w:numId w:val="14"/>
        </w:numPr>
        <w:spacing w:after="60" w:line="276" w:lineRule="auto"/>
        <w:ind w:left="1134"/>
        <w:jc w:val="both"/>
        <w:rPr>
          <w:rFonts w:ascii="Bookman Old Style" w:hAnsi="Bookman Old Style"/>
          <w:sz w:val="22"/>
          <w:szCs w:val="22"/>
          <w:lang w:val="id-ID"/>
        </w:rPr>
      </w:pPr>
      <w:r w:rsidRPr="007F541B">
        <w:rPr>
          <w:rFonts w:ascii="Bookman Old Style" w:hAnsi="Bookman Old Style"/>
          <w:sz w:val="22"/>
          <w:szCs w:val="22"/>
          <w:lang w:val="id-ID"/>
        </w:rPr>
        <w:t xml:space="preserve">RSEOJK tentang Profesi Penunjang di Sektor Jasa Keuangan. RSEOJK ini merupakan ketentuan turunan POJK Nomor 5 Tahun 2025 tentang Profesi Penunjang di </w:t>
      </w:r>
      <w:r w:rsidR="0019105F">
        <w:rPr>
          <w:rFonts w:ascii="Bookman Old Style" w:hAnsi="Bookman Old Style"/>
          <w:sz w:val="22"/>
          <w:szCs w:val="22"/>
          <w:lang w:val="id-ID"/>
        </w:rPr>
        <w:t>SJK</w:t>
      </w:r>
      <w:r w:rsidR="00430C45" w:rsidRPr="007F541B">
        <w:rPr>
          <w:rFonts w:ascii="Bookman Old Style" w:hAnsi="Bookman Old Style"/>
          <w:sz w:val="22"/>
          <w:szCs w:val="22"/>
          <w:lang w:val="id-ID"/>
        </w:rPr>
        <w:t>,</w:t>
      </w:r>
      <w:r w:rsidRPr="007F541B">
        <w:rPr>
          <w:rFonts w:ascii="Bookman Old Style" w:hAnsi="Bookman Old Style"/>
          <w:sz w:val="22"/>
          <w:szCs w:val="22"/>
          <w:lang w:val="id-ID"/>
        </w:rPr>
        <w:t xml:space="preserve"> yang antara lain mengatur teknis kompetensi dan Asosiasi Profesi Penunjang yang menyediakan jasa di </w:t>
      </w:r>
      <w:r w:rsidR="0019105F">
        <w:rPr>
          <w:rFonts w:ascii="Bookman Old Style" w:hAnsi="Bookman Old Style"/>
          <w:sz w:val="22"/>
          <w:szCs w:val="22"/>
          <w:lang w:val="id-ID"/>
        </w:rPr>
        <w:t>SJK</w:t>
      </w:r>
      <w:r w:rsidR="00C0560A" w:rsidRPr="007F541B">
        <w:rPr>
          <w:rFonts w:ascii="Bookman Old Style" w:hAnsi="Bookman Old Style"/>
          <w:sz w:val="22"/>
          <w:szCs w:val="22"/>
          <w:lang w:val="id-ID"/>
        </w:rPr>
        <w:t>.</w:t>
      </w:r>
    </w:p>
    <w:p w14:paraId="2EED56B5" w14:textId="0FA0F092" w:rsidR="00C0560A" w:rsidRDefault="00C0560A" w:rsidP="00D15FBA">
      <w:pPr>
        <w:pStyle w:val="ListParagraph"/>
        <w:numPr>
          <w:ilvl w:val="0"/>
          <w:numId w:val="14"/>
        </w:numPr>
        <w:spacing w:after="60" w:line="276" w:lineRule="auto"/>
        <w:ind w:left="1134"/>
        <w:jc w:val="both"/>
        <w:rPr>
          <w:rFonts w:ascii="Bookman Old Style" w:hAnsi="Bookman Old Style"/>
          <w:sz w:val="22"/>
          <w:szCs w:val="22"/>
          <w:lang w:val="id-ID"/>
        </w:rPr>
      </w:pPr>
      <w:r w:rsidRPr="007F541B">
        <w:rPr>
          <w:rFonts w:ascii="Bookman Old Style" w:hAnsi="Bookman Old Style"/>
          <w:sz w:val="22"/>
          <w:szCs w:val="22"/>
          <w:lang w:val="id-ID"/>
        </w:rPr>
        <w:t xml:space="preserve">RSEOJK Kegiatan Usaha dan Lini Usaha Perusahaan Asuransi/Reasuransi dan Perusahaan Asuransi/Reasuransi Syariah berdasarkan Kelompok Perusahaan Perasuransian Berdasarkan Ekuitas (KPPE) yang merupakan aturan pelaksanaan dari POJK Nomor 23 Tahun 2023 mengenai perizinan dan kelembagaan perasuransian dan POJK Nomor 36 Tahun 2024 mengenai penyelenggaraan usaha perasuransian. </w:t>
      </w:r>
      <w:r w:rsidRPr="007F541B">
        <w:rPr>
          <w:rFonts w:ascii="Bookman Old Style" w:hAnsi="Bookman Old Style"/>
          <w:sz w:val="22"/>
          <w:szCs w:val="22"/>
          <w:lang w:val="id-ID"/>
        </w:rPr>
        <w:lastRenderedPageBreak/>
        <w:t>Dalam RSEOJK ini akan diatur mengenai standardisasi lini usaha bagi produk asuransi umum, asuransi umum syariah, asuransi jiwa dan asuransi jiwa syariah, yang nantinya akan digunakan juga dalam penentuan batasan lini usaha yang akan dijamin dalam program penjaminan polis. RSEOJK ini akan mengatur batasan kegiatan usaha dan lini usaha asuransi yang dapat dipasarkan oleh perusahaan asuransi/reasuransi dalam kategori KPPE 1 dan KPPE 2. Secara umum, KPPE 1 hanya akan diperkenankan untuk memasarkan produk asuransi dengan risiko sederhana dan/atau produk asuransi dengan nilai pertanggungan yang tidak besar, sedangkan KPPE 2 diperkenankan memasarkan seluruh produk asuransi.</w:t>
      </w:r>
    </w:p>
    <w:p w14:paraId="55E96196" w14:textId="49B5A9F4" w:rsidR="00DB5475" w:rsidRPr="007F541B" w:rsidRDefault="00FA2E1D" w:rsidP="00FA2E1D">
      <w:pPr>
        <w:pStyle w:val="ListParagraph"/>
        <w:numPr>
          <w:ilvl w:val="0"/>
          <w:numId w:val="8"/>
        </w:numPr>
        <w:spacing w:before="120" w:after="0" w:line="276" w:lineRule="auto"/>
        <w:ind w:left="714" w:hanging="357"/>
        <w:contextualSpacing w:val="0"/>
        <w:jc w:val="both"/>
        <w:rPr>
          <w:rFonts w:ascii="Bookman Old Style" w:hAnsi="Bookman Old Style"/>
          <w:sz w:val="22"/>
          <w:szCs w:val="22"/>
          <w:lang w:val="id-ID"/>
        </w:rPr>
      </w:pPr>
      <w:r w:rsidRPr="007F541B">
        <w:rPr>
          <w:rFonts w:ascii="Bookman Old Style" w:hAnsi="Bookman Old Style"/>
          <w:sz w:val="22"/>
          <w:szCs w:val="22"/>
          <w:lang w:val="id-ID"/>
        </w:rPr>
        <w:t>Dalam rangka mendukung efektivitas pelaksanaan perizinan, pengawasan, serta menjaga integritas SJK, OJK memperkuat kerja sama pertukaran data dengan Kementerian Hukum (Kemenkum) melalui penandatanganan Perjanjian Kerja Sama (PKS) tentang Penyediaan, Pertukaran, Pemanfaatan Data dan/atau Informasi Untuk Mendukung Tugas, Fungsi, dan Kewenangan Direktorat Jenderal Administrasi Hukum Umum (Ditjen AHU) Kementerian Hukum dan OJK. Kerja sama ini sangat penting dalam mendukung pelaksanaan UU Nomor 42 Tahun 1999 tentang Jaminan Fidusia. Untuk memberikan kepastian hukum bagi para pihak, OJK mewajibkan jaminan fidusia dalam perjanjian pembiayaan didaftarkan ke kantor pendaftaran fidusia. Melalui pertukaran data dengan Ditjen AHU, pengawasan terhadap kewajiban pendaftaran jaminan fidusia dapat dilakukan secara lebih efektif</w:t>
      </w:r>
      <w:r w:rsidR="00663972" w:rsidRPr="007F541B">
        <w:rPr>
          <w:rFonts w:ascii="Bookman Old Style" w:hAnsi="Bookman Old Style"/>
          <w:sz w:val="22"/>
          <w:szCs w:val="22"/>
          <w:lang w:val="id-ID"/>
        </w:rPr>
        <w:t>.</w:t>
      </w:r>
    </w:p>
    <w:p w14:paraId="684EFB2B" w14:textId="60C14C05" w:rsidR="00663972" w:rsidRPr="007F541B" w:rsidRDefault="00663972" w:rsidP="00FA2E1D">
      <w:pPr>
        <w:pStyle w:val="ListParagraph"/>
        <w:numPr>
          <w:ilvl w:val="0"/>
          <w:numId w:val="8"/>
        </w:numPr>
        <w:spacing w:before="120" w:after="0" w:line="276" w:lineRule="auto"/>
        <w:ind w:left="714" w:hanging="357"/>
        <w:contextualSpacing w:val="0"/>
        <w:jc w:val="both"/>
        <w:rPr>
          <w:rFonts w:ascii="Bookman Old Style" w:hAnsi="Bookman Old Style"/>
          <w:sz w:val="22"/>
          <w:szCs w:val="22"/>
          <w:lang w:val="id-ID"/>
        </w:rPr>
      </w:pPr>
      <w:r w:rsidRPr="002F0BE8">
        <w:rPr>
          <w:rFonts w:ascii="Bookman Old Style" w:hAnsi="Bookman Old Style"/>
          <w:i/>
          <w:iCs/>
          <w:sz w:val="22"/>
          <w:szCs w:val="22"/>
          <w:lang w:val="id-ID"/>
        </w:rPr>
        <w:t>The Organisation for Economic Co-operation and Development</w:t>
      </w:r>
      <w:r w:rsidRPr="007F541B">
        <w:rPr>
          <w:rFonts w:ascii="Bookman Old Style" w:hAnsi="Bookman Old Style"/>
          <w:sz w:val="22"/>
          <w:szCs w:val="22"/>
          <w:lang w:val="id-ID"/>
        </w:rPr>
        <w:t xml:space="preserve"> (OECD) bersama dengan OJK telah menerbitkan hasil kajian</w:t>
      </w:r>
      <w:r w:rsidR="00CE1A59" w:rsidRPr="007F541B">
        <w:rPr>
          <w:rFonts w:ascii="Bookman Old Style" w:hAnsi="Bookman Old Style"/>
          <w:sz w:val="22"/>
          <w:szCs w:val="22"/>
          <w:lang w:val="id-ID"/>
        </w:rPr>
        <w:t xml:space="preserve"> berjudul</w:t>
      </w:r>
      <w:r w:rsidRPr="007F541B">
        <w:rPr>
          <w:rFonts w:ascii="Bookman Old Style" w:hAnsi="Bookman Old Style"/>
          <w:sz w:val="22"/>
          <w:szCs w:val="22"/>
          <w:lang w:val="id-ID"/>
        </w:rPr>
        <w:t xml:space="preserve"> “</w:t>
      </w:r>
      <w:r w:rsidRPr="00D6168E">
        <w:rPr>
          <w:rFonts w:ascii="Bookman Old Style" w:hAnsi="Bookman Old Style"/>
          <w:i/>
          <w:iCs/>
          <w:sz w:val="22"/>
          <w:szCs w:val="22"/>
          <w:lang w:val="id-ID"/>
        </w:rPr>
        <w:t xml:space="preserve">Addressing the Challenges for Asset-Backed Pensions in </w:t>
      </w:r>
      <w:r w:rsidRPr="007F541B">
        <w:rPr>
          <w:rFonts w:ascii="Bookman Old Style" w:hAnsi="Bookman Old Style"/>
          <w:sz w:val="22"/>
          <w:szCs w:val="22"/>
          <w:lang w:val="id-ID"/>
        </w:rPr>
        <w:t xml:space="preserve">Indonesia” </w:t>
      </w:r>
      <w:r w:rsidR="00CE1A59" w:rsidRPr="007F541B">
        <w:rPr>
          <w:rFonts w:ascii="Bookman Old Style" w:hAnsi="Bookman Old Style"/>
          <w:sz w:val="22"/>
          <w:szCs w:val="22"/>
          <w:lang w:val="id-ID"/>
        </w:rPr>
        <w:t xml:space="preserve">yang </w:t>
      </w:r>
      <w:r w:rsidRPr="007F541B">
        <w:rPr>
          <w:rFonts w:ascii="Bookman Old Style" w:hAnsi="Bookman Old Style"/>
          <w:sz w:val="22"/>
          <w:szCs w:val="22"/>
          <w:lang w:val="id-ID"/>
        </w:rPr>
        <w:t>menunjukkan komitmen bersama untuk memperkuat sistem pensiun di Indonesia. OECD menilai bahwa Indonesia telah mencatat kemajuan signifikan melalui penerapan skema pensiun berbasis aset wajib (JHT dan JP) yang berhasil memperluas cakupan bagi pekerja formal di sektor swasta. Melalui kajian ini, OECD memberikan rekomendasi strategis, seperti harmonisasi aturan, diversifikasi investasi, serta pembatasan penarikan dini untuk memastikan kecukupan manfaat pensiun. Selain itu, OECD juga mendorong penerapan strategi investasi jangka panjang berbasis siklus hidup (</w:t>
      </w:r>
      <w:r w:rsidRPr="007F541B">
        <w:rPr>
          <w:rFonts w:ascii="Bookman Old Style" w:hAnsi="Bookman Old Style"/>
          <w:i/>
          <w:iCs/>
          <w:sz w:val="22"/>
          <w:szCs w:val="22"/>
          <w:lang w:val="id-ID"/>
        </w:rPr>
        <w:t>lifecycle investment strategies</w:t>
      </w:r>
      <w:r w:rsidRPr="007F541B">
        <w:rPr>
          <w:rFonts w:ascii="Bookman Old Style" w:hAnsi="Bookman Old Style"/>
          <w:sz w:val="22"/>
          <w:szCs w:val="22"/>
          <w:lang w:val="id-ID"/>
        </w:rPr>
        <w:t>). Kolaborasi ini diharapkan dapat mendukung OJK dalam memperkuat peran dana pensiun sebagai instrumen pelindungan sosial dan investasi jangka panjang yang mendukung stabilitas ekonomi nasional.</w:t>
      </w:r>
    </w:p>
    <w:p w14:paraId="426A5601" w14:textId="56C9A764" w:rsidR="00663972" w:rsidRPr="007F541B" w:rsidRDefault="00411884" w:rsidP="00FA2E1D">
      <w:pPr>
        <w:pStyle w:val="ListParagraph"/>
        <w:numPr>
          <w:ilvl w:val="0"/>
          <w:numId w:val="8"/>
        </w:numPr>
        <w:spacing w:before="120" w:after="0" w:line="276" w:lineRule="auto"/>
        <w:ind w:left="714" w:hanging="357"/>
        <w:contextualSpacing w:val="0"/>
        <w:jc w:val="both"/>
        <w:rPr>
          <w:rFonts w:ascii="Bookman Old Style" w:hAnsi="Bookman Old Style"/>
          <w:sz w:val="22"/>
          <w:szCs w:val="22"/>
          <w:lang w:val="id-ID"/>
        </w:rPr>
      </w:pPr>
      <w:r w:rsidRPr="007F541B">
        <w:rPr>
          <w:rFonts w:ascii="Bookman Old Style" w:hAnsi="Bookman Old Style"/>
          <w:sz w:val="22"/>
          <w:szCs w:val="22"/>
          <w:lang w:val="id-ID"/>
        </w:rPr>
        <w:t xml:space="preserve">OJK telah melaksanakan pertemuan </w:t>
      </w:r>
      <w:r w:rsidR="001F2FF9">
        <w:rPr>
          <w:rFonts w:ascii="Bookman Old Style" w:hAnsi="Bookman Old Style"/>
          <w:sz w:val="22"/>
          <w:szCs w:val="22"/>
          <w:lang w:val="id-ID"/>
        </w:rPr>
        <w:t xml:space="preserve">teknis </w:t>
      </w:r>
      <w:r w:rsidRPr="007F541B">
        <w:rPr>
          <w:rFonts w:ascii="Bookman Old Style" w:hAnsi="Bookman Old Style"/>
          <w:sz w:val="22"/>
          <w:szCs w:val="22"/>
          <w:lang w:val="id-ID"/>
        </w:rPr>
        <w:t xml:space="preserve">dengan OECD bersama dengan Kementerian Keuangan dan Kementerian Koordinator Bidang Perekonomian yang bertanggungjawab dalam proses aksesi Indonesia sebagai anggota OECD terutama untuk Bidang Asuransi dan Dana Pensiun. Pertemuan ini diselenggarakan untuk mempersiapkan tahapan </w:t>
      </w:r>
      <w:r w:rsidRPr="007F541B">
        <w:rPr>
          <w:rFonts w:ascii="Bookman Old Style" w:hAnsi="Bookman Old Style"/>
          <w:i/>
          <w:iCs/>
          <w:sz w:val="22"/>
          <w:szCs w:val="22"/>
          <w:lang w:val="id-ID"/>
        </w:rPr>
        <w:t xml:space="preserve">technical review </w:t>
      </w:r>
      <w:r w:rsidRPr="007F541B">
        <w:rPr>
          <w:rFonts w:ascii="Bookman Old Style" w:hAnsi="Bookman Old Style"/>
          <w:sz w:val="22"/>
          <w:szCs w:val="22"/>
          <w:lang w:val="id-ID"/>
        </w:rPr>
        <w:t xml:space="preserve">yang akan dilaksanakan oleh OECD setelah diserahkannya seluruh </w:t>
      </w:r>
      <w:r w:rsidR="00855B1C" w:rsidRPr="007F541B">
        <w:rPr>
          <w:rFonts w:ascii="Bookman Old Style" w:hAnsi="Bookman Old Style"/>
          <w:i/>
          <w:iCs/>
          <w:sz w:val="22"/>
          <w:szCs w:val="22"/>
          <w:lang w:val="id-ID"/>
        </w:rPr>
        <w:t>i</w:t>
      </w:r>
      <w:r w:rsidRPr="007F541B">
        <w:rPr>
          <w:rFonts w:ascii="Bookman Old Style" w:hAnsi="Bookman Old Style"/>
          <w:i/>
          <w:iCs/>
          <w:sz w:val="22"/>
          <w:szCs w:val="22"/>
          <w:lang w:val="id-ID"/>
        </w:rPr>
        <w:t xml:space="preserve">nitial </w:t>
      </w:r>
      <w:r w:rsidR="00855B1C" w:rsidRPr="007F541B">
        <w:rPr>
          <w:rFonts w:ascii="Bookman Old Style" w:hAnsi="Bookman Old Style"/>
          <w:i/>
          <w:iCs/>
          <w:sz w:val="22"/>
          <w:szCs w:val="22"/>
          <w:lang w:val="id-ID"/>
        </w:rPr>
        <w:t xml:space="preserve">memorandums </w:t>
      </w:r>
      <w:r w:rsidRPr="007F541B">
        <w:rPr>
          <w:rFonts w:ascii="Bookman Old Style" w:hAnsi="Bookman Old Style"/>
          <w:sz w:val="22"/>
          <w:szCs w:val="22"/>
          <w:lang w:val="id-ID"/>
        </w:rPr>
        <w:t>oleh Pemerintah Indonesia kepada OECD pada 3 Juni 2025 yang lalu yang menandai dimulainya proses aksesi secara resmi.</w:t>
      </w:r>
    </w:p>
    <w:p w14:paraId="2C81EE38" w14:textId="11277961" w:rsidR="00411884" w:rsidRPr="007F541B" w:rsidRDefault="008C470E" w:rsidP="00FA2E1D">
      <w:pPr>
        <w:pStyle w:val="ListParagraph"/>
        <w:numPr>
          <w:ilvl w:val="0"/>
          <w:numId w:val="8"/>
        </w:numPr>
        <w:spacing w:before="120" w:after="0" w:line="276" w:lineRule="auto"/>
        <w:ind w:left="714" w:hanging="357"/>
        <w:contextualSpacing w:val="0"/>
        <w:jc w:val="both"/>
        <w:rPr>
          <w:rFonts w:ascii="Bookman Old Style" w:hAnsi="Bookman Old Style"/>
          <w:sz w:val="22"/>
          <w:szCs w:val="22"/>
          <w:lang w:val="id-ID"/>
        </w:rPr>
      </w:pPr>
      <w:r w:rsidRPr="007F541B">
        <w:rPr>
          <w:rFonts w:ascii="Bookman Old Style" w:hAnsi="Bookman Old Style"/>
          <w:sz w:val="22"/>
          <w:szCs w:val="22"/>
          <w:lang w:val="id-ID"/>
        </w:rPr>
        <w:lastRenderedPageBreak/>
        <w:t xml:space="preserve">OJK </w:t>
      </w:r>
      <w:r w:rsidR="002776A1">
        <w:rPr>
          <w:rFonts w:ascii="Bookman Old Style" w:hAnsi="Bookman Old Style"/>
          <w:sz w:val="22"/>
          <w:szCs w:val="22"/>
          <w:lang w:val="id-ID"/>
        </w:rPr>
        <w:t xml:space="preserve">menekankan </w:t>
      </w:r>
      <w:r w:rsidR="00452928" w:rsidRPr="007F541B">
        <w:rPr>
          <w:rFonts w:ascii="Bookman Old Style" w:hAnsi="Bookman Old Style"/>
          <w:sz w:val="22"/>
          <w:szCs w:val="22"/>
          <w:lang w:val="id-ID"/>
        </w:rPr>
        <w:t>komitmen Indonesia untuk mengatasi kesenjangan pelindungan di sektor asuransi bencana alam dan tabungan pensiun, sekaligus memperkuat strategi nasional dalam meningkatkan literasi keuangan, memperluas cakupan skema pensiun wajib, serta mendorong diversifikasi investasi untuk memperkuat ketahanan keuangan masyarakat di kawasan Asia</w:t>
      </w:r>
      <w:r w:rsidR="00A65EF9">
        <w:rPr>
          <w:rFonts w:ascii="Bookman Old Style" w:hAnsi="Bookman Old Style"/>
          <w:sz w:val="22"/>
          <w:szCs w:val="22"/>
          <w:lang w:val="id-ID"/>
        </w:rPr>
        <w:t>, yang disampaikan</w:t>
      </w:r>
      <w:r w:rsidR="00326C00">
        <w:rPr>
          <w:rFonts w:ascii="Bookman Old Style" w:hAnsi="Bookman Old Style"/>
          <w:sz w:val="22"/>
          <w:szCs w:val="22"/>
          <w:lang w:val="id-ID"/>
        </w:rPr>
        <w:t xml:space="preserve"> OJK</w:t>
      </w:r>
      <w:r w:rsidR="00A65EF9">
        <w:rPr>
          <w:rFonts w:ascii="Bookman Old Style" w:hAnsi="Bookman Old Style"/>
          <w:sz w:val="22"/>
          <w:szCs w:val="22"/>
          <w:lang w:val="id-ID"/>
        </w:rPr>
        <w:t xml:space="preserve"> pada </w:t>
      </w:r>
      <w:r w:rsidRPr="007F541B">
        <w:rPr>
          <w:rFonts w:ascii="Bookman Old Style" w:hAnsi="Bookman Old Style"/>
          <w:sz w:val="22"/>
          <w:szCs w:val="22"/>
          <w:lang w:val="id-ID"/>
        </w:rPr>
        <w:t xml:space="preserve">forum OECD-ADBI-BNM-EPF </w:t>
      </w:r>
      <w:r w:rsidRPr="00D6168E">
        <w:rPr>
          <w:rFonts w:ascii="Bookman Old Style" w:hAnsi="Bookman Old Style"/>
          <w:i/>
          <w:iCs/>
          <w:sz w:val="22"/>
          <w:szCs w:val="22"/>
          <w:lang w:val="id-ID"/>
        </w:rPr>
        <w:t>Roundtable on Insurance and Retirement Savings in</w:t>
      </w:r>
      <w:r w:rsidRPr="007F541B">
        <w:rPr>
          <w:rFonts w:ascii="Bookman Old Style" w:hAnsi="Bookman Old Style"/>
          <w:sz w:val="22"/>
          <w:szCs w:val="22"/>
          <w:lang w:val="id-ID"/>
        </w:rPr>
        <w:t xml:space="preserve"> Asia di Kuala Lumpur</w:t>
      </w:r>
      <w:r w:rsidR="00126B72">
        <w:rPr>
          <w:rFonts w:ascii="Bookman Old Style" w:hAnsi="Bookman Old Style"/>
          <w:sz w:val="22"/>
          <w:szCs w:val="22"/>
          <w:lang w:val="id-ID"/>
        </w:rPr>
        <w:t>. Forum tersebut</w:t>
      </w:r>
      <w:r w:rsidRPr="007F541B">
        <w:rPr>
          <w:rFonts w:ascii="Bookman Old Style" w:hAnsi="Bookman Old Style"/>
          <w:sz w:val="22"/>
          <w:szCs w:val="22"/>
          <w:lang w:val="id-ID"/>
        </w:rPr>
        <w:t xml:space="preserve"> membahas laporan terbaru OECD </w:t>
      </w:r>
      <w:r w:rsidR="00371646">
        <w:rPr>
          <w:rFonts w:ascii="Bookman Old Style" w:hAnsi="Bookman Old Style"/>
          <w:sz w:val="22"/>
          <w:szCs w:val="22"/>
          <w:lang w:val="id-ID"/>
        </w:rPr>
        <w:t xml:space="preserve">tentang </w:t>
      </w:r>
      <w:r w:rsidRPr="00D6168E">
        <w:rPr>
          <w:rFonts w:ascii="Bookman Old Style" w:hAnsi="Bookman Old Style"/>
          <w:i/>
          <w:iCs/>
          <w:sz w:val="22"/>
          <w:szCs w:val="22"/>
          <w:lang w:val="id-ID"/>
        </w:rPr>
        <w:t>Protection Gaps in Insurance for Natural Hazards and Retirement Savings in</w:t>
      </w:r>
      <w:r w:rsidRPr="007F541B">
        <w:rPr>
          <w:rFonts w:ascii="Bookman Old Style" w:hAnsi="Bookman Old Style"/>
          <w:sz w:val="22"/>
          <w:szCs w:val="22"/>
          <w:lang w:val="id-ID"/>
        </w:rPr>
        <w:t xml:space="preserve"> Asia. </w:t>
      </w:r>
    </w:p>
    <w:p w14:paraId="04E1D5A1" w14:textId="4414ED7E" w:rsidR="002E7439" w:rsidRPr="00D6168E" w:rsidRDefault="002E7439" w:rsidP="00D6168E">
      <w:pPr>
        <w:numPr>
          <w:ilvl w:val="0"/>
          <w:numId w:val="8"/>
        </w:numPr>
        <w:spacing w:before="120" w:after="0" w:line="276" w:lineRule="auto"/>
        <w:ind w:left="714" w:hanging="357"/>
        <w:jc w:val="both"/>
        <w:rPr>
          <w:rFonts w:ascii="Bookman Old Style" w:hAnsi="Bookman Old Style"/>
          <w:sz w:val="22"/>
          <w:szCs w:val="22"/>
          <w:lang w:val="id-ID"/>
        </w:rPr>
      </w:pPr>
      <w:r w:rsidRPr="007F541B">
        <w:rPr>
          <w:rFonts w:ascii="Bookman Old Style" w:hAnsi="Bookman Old Style"/>
          <w:bCs/>
          <w:sz w:val="22"/>
          <w:szCs w:val="22"/>
          <w:lang w:val="id-ID"/>
        </w:rPr>
        <w:t xml:space="preserve">Dalam rangka memperkuat fondasi ekosistem </w:t>
      </w:r>
      <w:r w:rsidR="0036480E">
        <w:rPr>
          <w:rFonts w:ascii="Bookman Old Style" w:hAnsi="Bookman Old Style"/>
          <w:bCs/>
          <w:sz w:val="22"/>
          <w:szCs w:val="22"/>
          <w:lang w:val="id-ID"/>
        </w:rPr>
        <w:t>A</w:t>
      </w:r>
      <w:r w:rsidRPr="007F541B">
        <w:rPr>
          <w:rFonts w:ascii="Bookman Old Style" w:hAnsi="Bookman Old Style"/>
          <w:bCs/>
          <w:sz w:val="22"/>
          <w:szCs w:val="22"/>
          <w:lang w:val="id-ID"/>
        </w:rPr>
        <w:t xml:space="preserve">set </w:t>
      </w:r>
      <w:r w:rsidR="0036480E">
        <w:rPr>
          <w:rFonts w:ascii="Bookman Old Style" w:hAnsi="Bookman Old Style"/>
          <w:bCs/>
          <w:sz w:val="22"/>
          <w:szCs w:val="22"/>
          <w:lang w:val="id-ID"/>
        </w:rPr>
        <w:t>K</w:t>
      </w:r>
      <w:r w:rsidRPr="007F541B">
        <w:rPr>
          <w:rFonts w:ascii="Bookman Old Style" w:hAnsi="Bookman Old Style"/>
          <w:bCs/>
          <w:sz w:val="22"/>
          <w:szCs w:val="22"/>
          <w:lang w:val="id-ID"/>
        </w:rPr>
        <w:t xml:space="preserve">euangan </w:t>
      </w:r>
      <w:r w:rsidR="0036480E">
        <w:rPr>
          <w:rFonts w:ascii="Bookman Old Style" w:hAnsi="Bookman Old Style"/>
          <w:bCs/>
          <w:sz w:val="22"/>
          <w:szCs w:val="22"/>
          <w:lang w:val="id-ID"/>
        </w:rPr>
        <w:t>D</w:t>
      </w:r>
      <w:r w:rsidRPr="007F541B">
        <w:rPr>
          <w:rFonts w:ascii="Bookman Old Style" w:hAnsi="Bookman Old Style"/>
          <w:bCs/>
          <w:sz w:val="22"/>
          <w:szCs w:val="22"/>
          <w:lang w:val="id-ID"/>
        </w:rPr>
        <w:t xml:space="preserve">igital dan </w:t>
      </w:r>
      <w:r w:rsidR="0036480E">
        <w:rPr>
          <w:rFonts w:ascii="Bookman Old Style" w:hAnsi="Bookman Old Style"/>
          <w:bCs/>
          <w:sz w:val="22"/>
          <w:szCs w:val="22"/>
          <w:lang w:val="id-ID"/>
        </w:rPr>
        <w:t>A</w:t>
      </w:r>
      <w:r w:rsidRPr="007F541B">
        <w:rPr>
          <w:rFonts w:ascii="Bookman Old Style" w:hAnsi="Bookman Old Style"/>
          <w:bCs/>
          <w:sz w:val="22"/>
          <w:szCs w:val="22"/>
          <w:lang w:val="id-ID"/>
        </w:rPr>
        <w:t xml:space="preserve">set </w:t>
      </w:r>
      <w:r w:rsidR="0036480E">
        <w:rPr>
          <w:rFonts w:ascii="Bookman Old Style" w:hAnsi="Bookman Old Style"/>
          <w:bCs/>
          <w:sz w:val="22"/>
          <w:szCs w:val="22"/>
          <w:lang w:val="id-ID"/>
        </w:rPr>
        <w:t>K</w:t>
      </w:r>
      <w:r w:rsidRPr="007F541B">
        <w:rPr>
          <w:rFonts w:ascii="Bookman Old Style" w:hAnsi="Bookman Old Style"/>
          <w:bCs/>
          <w:sz w:val="22"/>
          <w:szCs w:val="22"/>
          <w:lang w:val="id-ID"/>
        </w:rPr>
        <w:t>ripto (AKD-AK) nasional</w:t>
      </w:r>
      <w:r w:rsidR="0036480E">
        <w:rPr>
          <w:rFonts w:ascii="Bookman Old Style" w:hAnsi="Bookman Old Style"/>
          <w:bCs/>
          <w:sz w:val="22"/>
          <w:szCs w:val="22"/>
          <w:lang w:val="id-ID"/>
        </w:rPr>
        <w:t>,</w:t>
      </w:r>
      <w:r w:rsidRPr="007F541B">
        <w:rPr>
          <w:rFonts w:ascii="Bookman Old Style" w:hAnsi="Bookman Old Style"/>
          <w:bCs/>
          <w:sz w:val="22"/>
          <w:szCs w:val="22"/>
          <w:lang w:val="id-ID"/>
        </w:rPr>
        <w:t xml:space="preserve"> serta untuk menyempurnakan proses peralihan tugas pengaturan dan pengawasan AKD-AK dari </w:t>
      </w:r>
      <w:r w:rsidR="0036480E">
        <w:rPr>
          <w:rFonts w:ascii="Bookman Old Style" w:hAnsi="Bookman Old Style"/>
          <w:bCs/>
          <w:sz w:val="22"/>
          <w:szCs w:val="22"/>
          <w:lang w:val="id-ID"/>
        </w:rPr>
        <w:t>Badan Pengawas Perdagangan Berjangka Komoditi (</w:t>
      </w:r>
      <w:r w:rsidRPr="007F541B">
        <w:rPr>
          <w:rFonts w:ascii="Bookman Old Style" w:hAnsi="Bookman Old Style"/>
          <w:bCs/>
          <w:sz w:val="22"/>
          <w:szCs w:val="22"/>
          <w:lang w:val="id-ID"/>
        </w:rPr>
        <w:t>Bappebti</w:t>
      </w:r>
      <w:r w:rsidR="0036480E">
        <w:rPr>
          <w:rFonts w:ascii="Bookman Old Style" w:hAnsi="Bookman Old Style"/>
          <w:bCs/>
          <w:sz w:val="22"/>
          <w:szCs w:val="22"/>
          <w:lang w:val="id-ID"/>
        </w:rPr>
        <w:t>)</w:t>
      </w:r>
      <w:r w:rsidRPr="007F541B">
        <w:rPr>
          <w:rFonts w:ascii="Bookman Old Style" w:hAnsi="Bookman Old Style"/>
          <w:bCs/>
          <w:sz w:val="22"/>
          <w:szCs w:val="22"/>
          <w:lang w:val="id-ID"/>
        </w:rPr>
        <w:t xml:space="preserve"> kepada OJK, pada tanggal 30 Juli 2025 telah dilakukan penandatanganan Adendum Berita Acara Serah Terima (BAST), yang mencakup pengalihan dokumen dan data terkait produk derivatif aset keuangan digital termasuk aset kripto (Derivatif AKD-AK), untuk menjadi bagian dari ruang lingkup pengaturan, perizinan, dan pengawasan oleh OJK. Serah terima ini merupakan bagian dari tindak lanjut atas amanat Undang-Undang Nomor 4 Tahun 2023 tentang Pengembangan dan Penguatan Sektor Keuangan, </w:t>
      </w:r>
      <w:r w:rsidRPr="000E2171">
        <w:rPr>
          <w:rFonts w:ascii="Bookman Old Style" w:hAnsi="Bookman Old Style"/>
          <w:bCs/>
          <w:sz w:val="22"/>
          <w:szCs w:val="22"/>
          <w:lang w:val="id-ID"/>
        </w:rPr>
        <w:t xml:space="preserve">serta </w:t>
      </w:r>
      <w:r w:rsidRPr="007F541B">
        <w:rPr>
          <w:rFonts w:ascii="Bookman Old Style" w:hAnsi="Bookman Old Style"/>
          <w:bCs/>
          <w:sz w:val="22"/>
          <w:szCs w:val="22"/>
          <w:lang w:val="id-ID"/>
        </w:rPr>
        <w:t>Peraturan Pemerintah Nomor 49 Tahun 2024 tentang Peralihan Tugas Pengaturan dan Pengawasan Aset Keuangan Digital, termasuk Aset Kripto</w:t>
      </w:r>
      <w:r w:rsidRPr="000E2171">
        <w:rPr>
          <w:rFonts w:ascii="Bookman Old Style" w:hAnsi="Bookman Old Style"/>
          <w:bCs/>
          <w:sz w:val="22"/>
          <w:szCs w:val="22"/>
          <w:lang w:val="id-ID"/>
        </w:rPr>
        <w:t xml:space="preserve">, </w:t>
      </w:r>
      <w:r w:rsidRPr="007F541B">
        <w:rPr>
          <w:rFonts w:ascii="Bookman Old Style" w:hAnsi="Bookman Old Style"/>
          <w:bCs/>
          <w:sz w:val="22"/>
          <w:szCs w:val="22"/>
          <w:lang w:val="id-ID"/>
        </w:rPr>
        <w:t xml:space="preserve">yang menegaskan mandat OJK dalam mengatur dan mengawasi seluruh aktivitas di sektor aset keuangan digital dan kripto, termasuk di dalamnya produk derivatifnya. </w:t>
      </w:r>
    </w:p>
    <w:p w14:paraId="7551AAF4" w14:textId="77777777" w:rsidR="00DB5475" w:rsidRPr="007F541B" w:rsidRDefault="00DB5475" w:rsidP="00D6168E">
      <w:pPr>
        <w:numPr>
          <w:ilvl w:val="0"/>
          <w:numId w:val="7"/>
        </w:numPr>
        <w:tabs>
          <w:tab w:val="clear" w:pos="720"/>
          <w:tab w:val="num" w:pos="426"/>
        </w:tabs>
        <w:spacing w:before="120" w:after="0" w:line="276" w:lineRule="auto"/>
        <w:ind w:left="425" w:hanging="425"/>
        <w:jc w:val="both"/>
        <w:rPr>
          <w:rFonts w:ascii="Bookman Old Style" w:hAnsi="Bookman Old Style"/>
          <w:sz w:val="22"/>
          <w:szCs w:val="22"/>
          <w:u w:val="single"/>
          <w:lang w:val="id-ID"/>
        </w:rPr>
      </w:pPr>
      <w:r w:rsidRPr="007F541B">
        <w:rPr>
          <w:rFonts w:ascii="Bookman Old Style" w:hAnsi="Bookman Old Style"/>
          <w:sz w:val="22"/>
          <w:szCs w:val="22"/>
          <w:u w:val="single"/>
          <w:lang w:val="id-ID"/>
        </w:rPr>
        <w:t>Pengembangan dan Penguatan SJK Syariah </w:t>
      </w:r>
    </w:p>
    <w:p w14:paraId="59184F52" w14:textId="55C55E54" w:rsidR="00DB5475" w:rsidRPr="00D6168E" w:rsidRDefault="00E15343" w:rsidP="007208FA">
      <w:pPr>
        <w:spacing w:after="60" w:line="276" w:lineRule="auto"/>
        <w:jc w:val="both"/>
        <w:rPr>
          <w:rFonts w:ascii="Bookman Old Style" w:hAnsi="Bookman Old Style"/>
          <w:lang w:val="id-ID"/>
        </w:rPr>
      </w:pPr>
      <w:r w:rsidRPr="00E15343">
        <w:rPr>
          <w:noProof/>
        </w:rPr>
        <w:drawing>
          <wp:inline distT="0" distB="0" distL="0" distR="0" wp14:anchorId="2800EE30" wp14:editId="0EBB785A">
            <wp:extent cx="5731510" cy="1718310"/>
            <wp:effectExtent l="0" t="0" r="2540" b="0"/>
            <wp:docPr id="35909865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1510" cy="1718310"/>
                    </a:xfrm>
                    <a:prstGeom prst="rect">
                      <a:avLst/>
                    </a:prstGeom>
                    <a:noFill/>
                    <a:ln>
                      <a:noFill/>
                    </a:ln>
                  </pic:spPr>
                </pic:pic>
              </a:graphicData>
            </a:graphic>
          </wp:inline>
        </w:drawing>
      </w:r>
    </w:p>
    <w:p w14:paraId="14A7E039" w14:textId="42A4C5CD" w:rsidR="00DB5475" w:rsidRPr="00D6168E" w:rsidRDefault="00574A5D" w:rsidP="00DB5475">
      <w:pPr>
        <w:spacing w:after="60" w:line="276" w:lineRule="auto"/>
        <w:jc w:val="both"/>
        <w:rPr>
          <w:rFonts w:ascii="Bookman Old Style" w:hAnsi="Bookman Old Style"/>
          <w:sz w:val="22"/>
          <w:szCs w:val="22"/>
          <w:lang w:val="id-ID"/>
        </w:rPr>
      </w:pPr>
      <w:r w:rsidRPr="00D6168E">
        <w:rPr>
          <w:noProof/>
        </w:rPr>
        <w:drawing>
          <wp:inline distT="0" distB="0" distL="0" distR="0" wp14:anchorId="74D3D1CE" wp14:editId="2B7212E9">
            <wp:extent cx="5731510" cy="2372360"/>
            <wp:effectExtent l="0" t="0" r="2540" b="8890"/>
            <wp:docPr id="102084044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2372360"/>
                    </a:xfrm>
                    <a:prstGeom prst="rect">
                      <a:avLst/>
                    </a:prstGeom>
                    <a:noFill/>
                    <a:ln>
                      <a:noFill/>
                    </a:ln>
                  </pic:spPr>
                </pic:pic>
              </a:graphicData>
            </a:graphic>
          </wp:inline>
        </w:drawing>
      </w:r>
    </w:p>
    <w:p w14:paraId="07519F9C" w14:textId="0926BD56" w:rsidR="00DB5475" w:rsidRPr="000E2171" w:rsidRDefault="00344EBA" w:rsidP="00D6168E">
      <w:pPr>
        <w:ind w:left="426"/>
        <w:jc w:val="both"/>
        <w:rPr>
          <w:rFonts w:ascii="Bookman Old Style" w:hAnsi="Bookman Old Style"/>
          <w:color w:val="000000" w:themeColor="text1"/>
          <w:sz w:val="22"/>
          <w:szCs w:val="22"/>
          <w:highlight w:val="yellow"/>
          <w:lang w:val="id-ID"/>
        </w:rPr>
      </w:pPr>
      <w:r w:rsidRPr="00D6168E">
        <w:rPr>
          <w:rFonts w:ascii="Bookman Old Style" w:hAnsi="Bookman Old Style"/>
          <w:color w:val="000000" w:themeColor="text1"/>
          <w:sz w:val="22"/>
          <w:szCs w:val="22"/>
          <w:lang w:val="id-ID"/>
        </w:rPr>
        <w:lastRenderedPageBreak/>
        <w:t xml:space="preserve">Pada industri keuangan syariah, indeks saham syariah (ISSI) menguat 17,62 persen </w:t>
      </w:r>
      <w:r w:rsidRPr="00D6168E">
        <w:rPr>
          <w:rFonts w:ascii="Bookman Old Style" w:hAnsi="Bookman Old Style"/>
          <w:i/>
          <w:iCs/>
          <w:color w:val="000000" w:themeColor="text1"/>
          <w:sz w:val="22"/>
          <w:szCs w:val="22"/>
          <w:lang w:val="id-ID"/>
        </w:rPr>
        <w:t xml:space="preserve">ytd </w:t>
      </w:r>
      <w:r w:rsidRPr="00D6168E">
        <w:rPr>
          <w:rFonts w:ascii="Bookman Old Style" w:hAnsi="Bookman Old Style"/>
          <w:color w:val="000000" w:themeColor="text1"/>
          <w:sz w:val="22"/>
          <w:szCs w:val="22"/>
          <w:lang w:val="id-ID"/>
        </w:rPr>
        <w:t xml:space="preserve">dan </w:t>
      </w:r>
      <w:r w:rsidRPr="00D6168E">
        <w:rPr>
          <w:rFonts w:ascii="Bookman Old Style" w:hAnsi="Bookman Old Style"/>
          <w:i/>
          <w:color w:val="000000" w:themeColor="text1"/>
          <w:sz w:val="22"/>
          <w:szCs w:val="22"/>
          <w:lang w:val="id-ID"/>
        </w:rPr>
        <w:t xml:space="preserve">Asset Under Management </w:t>
      </w:r>
      <w:r w:rsidRPr="00D6168E">
        <w:rPr>
          <w:rFonts w:ascii="Bookman Old Style" w:hAnsi="Bookman Old Style"/>
          <w:color w:val="000000" w:themeColor="text1"/>
          <w:sz w:val="22"/>
          <w:szCs w:val="22"/>
          <w:lang w:val="id-ID"/>
        </w:rPr>
        <w:t xml:space="preserve">(AUM) Reksa Dana Syariah tumbuh 22,48 persen </w:t>
      </w:r>
      <w:r w:rsidRPr="00D6168E">
        <w:rPr>
          <w:rFonts w:ascii="Bookman Old Style" w:hAnsi="Bookman Old Style"/>
          <w:i/>
          <w:iCs/>
          <w:color w:val="000000" w:themeColor="text1"/>
          <w:sz w:val="22"/>
          <w:szCs w:val="22"/>
          <w:lang w:val="id-ID"/>
        </w:rPr>
        <w:t>ytd</w:t>
      </w:r>
      <w:r w:rsidRPr="00D6168E">
        <w:rPr>
          <w:rFonts w:ascii="Bookman Old Style" w:hAnsi="Bookman Old Style"/>
          <w:color w:val="000000" w:themeColor="text1"/>
          <w:sz w:val="22"/>
          <w:szCs w:val="22"/>
          <w:lang w:val="id-ID"/>
        </w:rPr>
        <w:t xml:space="preserve"> menjadi Rp61,91 triliun.</w:t>
      </w:r>
      <w:r w:rsidRPr="000B404A">
        <w:rPr>
          <w:rFonts w:ascii="Bookman Old Style" w:hAnsi="Bookman Old Style"/>
          <w:color w:val="000000" w:themeColor="text1"/>
          <w:sz w:val="22"/>
          <w:szCs w:val="22"/>
          <w:lang w:val="id-ID"/>
        </w:rPr>
        <w:t xml:space="preserve"> </w:t>
      </w:r>
      <w:r w:rsidR="00DB5475" w:rsidRPr="00D6168E">
        <w:rPr>
          <w:rFonts w:ascii="Bookman Old Style" w:hAnsi="Bookman Old Style"/>
          <w:sz w:val="22"/>
          <w:szCs w:val="22"/>
          <w:lang w:val="id-ID"/>
        </w:rPr>
        <w:t xml:space="preserve">Sementara itu, kinerja intermediasi SJK syariah masih tumbuh positif secara </w:t>
      </w:r>
      <w:r w:rsidR="00DB5475" w:rsidRPr="00D6168E">
        <w:rPr>
          <w:rFonts w:ascii="Bookman Old Style" w:hAnsi="Bookman Old Style"/>
          <w:i/>
          <w:iCs/>
          <w:sz w:val="22"/>
          <w:szCs w:val="22"/>
          <w:lang w:val="id-ID"/>
        </w:rPr>
        <w:t>yoy</w:t>
      </w:r>
      <w:r w:rsidR="00DB5475" w:rsidRPr="00D6168E">
        <w:rPr>
          <w:rFonts w:ascii="Bookman Old Style" w:hAnsi="Bookman Old Style"/>
          <w:sz w:val="22"/>
          <w:szCs w:val="22"/>
          <w:lang w:val="id-ID"/>
        </w:rPr>
        <w:t xml:space="preserve">, dengan pembiayaan perbankan syariah tumbuh </w:t>
      </w:r>
      <w:r w:rsidR="00F41C79" w:rsidRPr="00D6168E">
        <w:rPr>
          <w:rFonts w:ascii="Bookman Old Style" w:hAnsi="Bookman Old Style"/>
          <w:sz w:val="22"/>
          <w:szCs w:val="22"/>
          <w:lang w:val="id-ID"/>
        </w:rPr>
        <w:t>8,38</w:t>
      </w:r>
      <w:r w:rsidR="00DB5475" w:rsidRPr="00D6168E">
        <w:rPr>
          <w:rFonts w:ascii="Bookman Old Style" w:hAnsi="Bookman Old Style"/>
          <w:sz w:val="22"/>
          <w:szCs w:val="22"/>
          <w:lang w:val="id-ID"/>
        </w:rPr>
        <w:t xml:space="preserve"> persen, kontribusi asuransi syariah </w:t>
      </w:r>
      <w:r w:rsidR="00674CDC" w:rsidRPr="00D6168E">
        <w:rPr>
          <w:rFonts w:ascii="Bookman Old Style" w:hAnsi="Bookman Old Style"/>
          <w:sz w:val="22"/>
          <w:szCs w:val="22"/>
          <w:lang w:val="id-ID"/>
        </w:rPr>
        <w:t>begerak stabil</w:t>
      </w:r>
      <w:r w:rsidR="00357450" w:rsidRPr="00D6168E">
        <w:rPr>
          <w:rFonts w:ascii="Bookman Old Style" w:hAnsi="Bookman Old Style"/>
          <w:sz w:val="22"/>
          <w:szCs w:val="22"/>
          <w:lang w:val="id-ID"/>
        </w:rPr>
        <w:t xml:space="preserve"> di level 0,04 persen</w:t>
      </w:r>
      <w:r w:rsidR="00DB5475" w:rsidRPr="00D6168E">
        <w:rPr>
          <w:rFonts w:ascii="Bookman Old Style" w:hAnsi="Bookman Old Style"/>
          <w:sz w:val="22"/>
          <w:szCs w:val="22"/>
          <w:lang w:val="id-ID"/>
        </w:rPr>
        <w:t>, dan piutang pembiayaan syariah tumbuh 9,</w:t>
      </w:r>
      <w:r w:rsidR="00382BB8" w:rsidRPr="00D6168E">
        <w:rPr>
          <w:rFonts w:ascii="Bookman Old Style" w:hAnsi="Bookman Old Style"/>
          <w:sz w:val="22"/>
          <w:szCs w:val="22"/>
          <w:lang w:val="id-ID"/>
        </w:rPr>
        <w:t>56</w:t>
      </w:r>
      <w:r w:rsidR="00DB5475" w:rsidRPr="00D6168E">
        <w:rPr>
          <w:rFonts w:ascii="Bookman Old Style" w:hAnsi="Bookman Old Style"/>
          <w:sz w:val="22"/>
          <w:szCs w:val="22"/>
          <w:lang w:val="id-ID"/>
        </w:rPr>
        <w:t xml:space="preserve"> persen.  </w:t>
      </w:r>
    </w:p>
    <w:p w14:paraId="6164E04A" w14:textId="2E3A3E25" w:rsidR="00DB5475" w:rsidRPr="00D6168E" w:rsidRDefault="00C565CE" w:rsidP="00DB5475">
      <w:pPr>
        <w:spacing w:line="276" w:lineRule="auto"/>
        <w:ind w:left="426"/>
        <w:jc w:val="both"/>
        <w:rPr>
          <w:rFonts w:ascii="Bookman Old Style" w:hAnsi="Bookman Old Style"/>
          <w:sz w:val="22"/>
          <w:szCs w:val="22"/>
          <w:lang w:val="id-ID"/>
        </w:rPr>
      </w:pPr>
      <w:r w:rsidRPr="00D6168E">
        <w:rPr>
          <w:rFonts w:ascii="Bookman Old Style" w:hAnsi="Bookman Old Style"/>
          <w:sz w:val="22"/>
          <w:szCs w:val="22"/>
          <w:lang w:val="id-ID"/>
        </w:rPr>
        <w:t>Di industri asuransi, s</w:t>
      </w:r>
      <w:r w:rsidR="00DB5475" w:rsidRPr="00D6168E">
        <w:rPr>
          <w:rFonts w:ascii="Bookman Old Style" w:hAnsi="Bookman Old Style"/>
          <w:sz w:val="22"/>
          <w:szCs w:val="22"/>
          <w:lang w:val="id-ID"/>
        </w:rPr>
        <w:t xml:space="preserve">ebagai tindak lanjut Pasal 9 POJK Nomor 11 Tahun 2023, 41 perusahaan telah menyampaikan perubahan Rencana Kerja Pemisahan Unit Syariah (RKPUS), dimana 29 perusahaan menyatakan akan melakukan </w:t>
      </w:r>
      <w:r w:rsidR="00DB5475" w:rsidRPr="00D6168E">
        <w:rPr>
          <w:rFonts w:ascii="Bookman Old Style" w:hAnsi="Bookman Old Style"/>
          <w:i/>
          <w:sz w:val="22"/>
          <w:szCs w:val="22"/>
          <w:lang w:val="id-ID"/>
        </w:rPr>
        <w:t>spin-off</w:t>
      </w:r>
      <w:r w:rsidR="00DB5475" w:rsidRPr="00D6168E">
        <w:rPr>
          <w:rFonts w:ascii="Bookman Old Style" w:hAnsi="Bookman Old Style"/>
          <w:sz w:val="22"/>
          <w:szCs w:val="22"/>
          <w:lang w:val="id-ID"/>
        </w:rPr>
        <w:t xml:space="preserve"> unit syariah dengan mendirikan perusahaan baru dan 12 perusahaan akan mengalihkan portofolio kepada perusahaan lain. Pada tahun 2025 direncanakan 18 perusahaan akan melakukan </w:t>
      </w:r>
      <w:r w:rsidR="00DB5475" w:rsidRPr="00D6168E">
        <w:rPr>
          <w:rFonts w:ascii="Bookman Old Style" w:hAnsi="Bookman Old Style"/>
          <w:i/>
          <w:iCs/>
          <w:sz w:val="22"/>
          <w:szCs w:val="22"/>
          <w:lang w:val="id-ID"/>
        </w:rPr>
        <w:t>spin off</w:t>
      </w:r>
      <w:r w:rsidR="00DB5475" w:rsidRPr="00D6168E">
        <w:rPr>
          <w:rFonts w:ascii="Bookman Old Style" w:hAnsi="Bookman Old Style"/>
          <w:sz w:val="22"/>
          <w:szCs w:val="22"/>
          <w:lang w:val="id-ID"/>
        </w:rPr>
        <w:t xml:space="preserve"> unit syariah dengan mendirikan perusahaan baru dan 8 perusahaan mengalihkan portofolio kepada perusahaan lain. Sejak bulan Mei 2025, terdapat 1 unit usaha syariah yang sedang memulai proses </w:t>
      </w:r>
      <w:r w:rsidR="00DB5475" w:rsidRPr="00D6168E">
        <w:rPr>
          <w:rFonts w:ascii="Bookman Old Style" w:hAnsi="Bookman Old Style"/>
          <w:i/>
          <w:iCs/>
          <w:sz w:val="22"/>
          <w:szCs w:val="22"/>
          <w:lang w:val="id-ID"/>
        </w:rPr>
        <w:t>spin off</w:t>
      </w:r>
      <w:r w:rsidR="00DB5475" w:rsidRPr="00D6168E">
        <w:rPr>
          <w:rFonts w:ascii="Bookman Old Style" w:hAnsi="Bookman Old Style"/>
          <w:sz w:val="22"/>
          <w:szCs w:val="22"/>
          <w:lang w:val="id-ID"/>
        </w:rPr>
        <w:t xml:space="preserve"> dengan pendirian perusahaan baru.</w:t>
      </w:r>
    </w:p>
    <w:p w14:paraId="75FD4EB2" w14:textId="6D87698E" w:rsidR="00DB5475" w:rsidRPr="007F541B" w:rsidRDefault="00DB5475" w:rsidP="00DB5475">
      <w:pPr>
        <w:spacing w:after="60" w:line="276" w:lineRule="auto"/>
        <w:ind w:left="426"/>
        <w:jc w:val="both"/>
        <w:rPr>
          <w:rFonts w:ascii="Bookman Old Style" w:hAnsi="Bookman Old Style"/>
          <w:sz w:val="22"/>
          <w:szCs w:val="22"/>
          <w:lang w:val="id-ID"/>
        </w:rPr>
      </w:pPr>
      <w:r w:rsidRPr="007F541B">
        <w:rPr>
          <w:rFonts w:ascii="Bookman Old Style" w:hAnsi="Bookman Old Style"/>
          <w:sz w:val="22"/>
          <w:szCs w:val="22"/>
          <w:lang w:val="id-ID"/>
        </w:rPr>
        <w:t>OJK juga terus melakukan penguatan kolaborasi dan aliansi strategis pengembangan keuangan syariah, termasuk meningkatkan literasi dan inklusi keuangan syariah, antara lain</w:t>
      </w:r>
      <w:r w:rsidR="00177FC5" w:rsidRPr="007F541B">
        <w:rPr>
          <w:rFonts w:ascii="Bookman Old Style" w:hAnsi="Bookman Old Style"/>
          <w:sz w:val="22"/>
          <w:szCs w:val="22"/>
          <w:lang w:val="id-ID"/>
        </w:rPr>
        <w:t xml:space="preserve"> melalui</w:t>
      </w:r>
      <w:r w:rsidRPr="007F541B">
        <w:rPr>
          <w:rFonts w:ascii="Bookman Old Style" w:hAnsi="Bookman Old Style"/>
          <w:sz w:val="22"/>
          <w:szCs w:val="22"/>
          <w:lang w:val="id-ID"/>
        </w:rPr>
        <w:t>:</w:t>
      </w:r>
    </w:p>
    <w:p w14:paraId="668D57A9" w14:textId="069561DA" w:rsidR="00DB5475" w:rsidRPr="007F541B" w:rsidRDefault="007D6D18" w:rsidP="00DB5475">
      <w:pPr>
        <w:pStyle w:val="ListParagraph"/>
        <w:numPr>
          <w:ilvl w:val="1"/>
          <w:numId w:val="6"/>
        </w:numPr>
        <w:spacing w:after="60" w:line="276" w:lineRule="auto"/>
        <w:ind w:left="709" w:hanging="284"/>
        <w:contextualSpacing w:val="0"/>
        <w:jc w:val="both"/>
        <w:rPr>
          <w:rFonts w:ascii="Bookman Old Style" w:hAnsi="Bookman Old Style"/>
          <w:sz w:val="22"/>
          <w:szCs w:val="22"/>
          <w:lang w:val="id-ID"/>
        </w:rPr>
      </w:pPr>
      <w:r w:rsidRPr="007F541B">
        <w:rPr>
          <w:rFonts w:ascii="Bookman Old Style" w:hAnsi="Bookman Old Style"/>
          <w:sz w:val="22"/>
          <w:szCs w:val="22"/>
          <w:lang w:val="id-ID"/>
        </w:rPr>
        <w:t xml:space="preserve">Pengukuhan keanggotaan Komite Pengembangan Keuangan Syariah (KPKS) yang menjadi wadah strategis untuk membahas dan merumuskan solusi atas berbagai isu kompleks yang dihadapi industri keuangan syariah. Kehadiran KPKS sebagai komite internal OJK akan memperkuat peran OJK dalam menyelaraskan regulasi, fatwa, dan praktik operasional keuangan syariah dalam satu kesatuan kerangka kebijakan yang kohesif dan terintegrasi. Struktur KPKS terdiri dari Kepala Eksekutif Pengawas Perbankan </w:t>
      </w:r>
      <w:r w:rsidR="004D512C">
        <w:rPr>
          <w:rFonts w:ascii="Bookman Old Style" w:hAnsi="Bookman Old Style"/>
          <w:sz w:val="22"/>
          <w:szCs w:val="22"/>
          <w:lang w:val="id-ID"/>
        </w:rPr>
        <w:t>OJK</w:t>
      </w:r>
      <w:r w:rsidRPr="007F541B">
        <w:rPr>
          <w:rFonts w:ascii="Bookman Old Style" w:hAnsi="Bookman Old Style"/>
          <w:sz w:val="22"/>
          <w:szCs w:val="22"/>
          <w:lang w:val="id-ID"/>
        </w:rPr>
        <w:t xml:space="preserve"> sebagai Ketua KPKS</w:t>
      </w:r>
      <w:r w:rsidR="00A201F9">
        <w:rPr>
          <w:rFonts w:ascii="Bookman Old Style" w:hAnsi="Bookman Old Style"/>
          <w:sz w:val="22"/>
          <w:szCs w:val="22"/>
          <w:lang w:val="id-ID"/>
        </w:rPr>
        <w:t>,</w:t>
      </w:r>
      <w:r w:rsidRPr="007F541B">
        <w:rPr>
          <w:rFonts w:ascii="Bookman Old Style" w:hAnsi="Bookman Old Style"/>
          <w:sz w:val="22"/>
          <w:szCs w:val="22"/>
          <w:lang w:val="id-ID"/>
        </w:rPr>
        <w:t xml:space="preserve"> Deputi Komisioner Pengawas Bank Pemerintah dan Syariah (DKBY) </w:t>
      </w:r>
      <w:r w:rsidR="007F541B" w:rsidRPr="007F541B">
        <w:rPr>
          <w:rFonts w:ascii="Bookman Old Style" w:hAnsi="Bookman Old Style"/>
          <w:sz w:val="22"/>
          <w:szCs w:val="22"/>
          <w:lang w:val="id-ID"/>
        </w:rPr>
        <w:t xml:space="preserve">OJK </w:t>
      </w:r>
      <w:r w:rsidRPr="007F541B">
        <w:rPr>
          <w:rFonts w:ascii="Bookman Old Style" w:hAnsi="Bookman Old Style"/>
          <w:sz w:val="22"/>
          <w:szCs w:val="22"/>
          <w:lang w:val="id-ID"/>
        </w:rPr>
        <w:t>sebagai Wakil Ketua KPKS</w:t>
      </w:r>
      <w:r w:rsidR="00556E04" w:rsidRPr="007F541B">
        <w:rPr>
          <w:rFonts w:ascii="Bookman Old Style" w:hAnsi="Bookman Old Style"/>
          <w:sz w:val="22"/>
          <w:szCs w:val="22"/>
          <w:lang w:val="id-ID"/>
        </w:rPr>
        <w:t>,</w:t>
      </w:r>
      <w:r w:rsidRPr="007F541B">
        <w:rPr>
          <w:rFonts w:ascii="Bookman Old Style" w:hAnsi="Bookman Old Style"/>
          <w:sz w:val="22"/>
          <w:szCs w:val="22"/>
          <w:lang w:val="id-ID"/>
        </w:rPr>
        <w:t xml:space="preserve"> </w:t>
      </w:r>
      <w:r w:rsidR="00A201F9">
        <w:rPr>
          <w:rFonts w:ascii="Bookman Old Style" w:hAnsi="Bookman Old Style"/>
          <w:sz w:val="22"/>
          <w:szCs w:val="22"/>
          <w:lang w:val="id-ID"/>
        </w:rPr>
        <w:t xml:space="preserve">dan </w:t>
      </w:r>
      <w:r w:rsidRPr="007F541B">
        <w:rPr>
          <w:rFonts w:ascii="Bookman Old Style" w:hAnsi="Bookman Old Style"/>
          <w:sz w:val="22"/>
          <w:szCs w:val="22"/>
          <w:lang w:val="id-ID"/>
        </w:rPr>
        <w:t xml:space="preserve">beranggotakan </w:t>
      </w:r>
      <w:r w:rsidR="007053C3">
        <w:rPr>
          <w:rFonts w:ascii="Bookman Old Style" w:hAnsi="Bookman Old Style"/>
          <w:sz w:val="22"/>
          <w:szCs w:val="22"/>
          <w:lang w:val="id-ID"/>
        </w:rPr>
        <w:t xml:space="preserve">beberapa </w:t>
      </w:r>
      <w:r w:rsidRPr="007F541B">
        <w:rPr>
          <w:rFonts w:ascii="Bookman Old Style" w:hAnsi="Bookman Old Style"/>
          <w:sz w:val="22"/>
          <w:szCs w:val="22"/>
          <w:lang w:val="id-ID"/>
        </w:rPr>
        <w:t xml:space="preserve">Kepala Departemen </w:t>
      </w:r>
      <w:r w:rsidR="00A201F9">
        <w:rPr>
          <w:rFonts w:ascii="Bookman Old Style" w:hAnsi="Bookman Old Style"/>
          <w:sz w:val="22"/>
          <w:szCs w:val="22"/>
          <w:lang w:val="id-ID"/>
        </w:rPr>
        <w:t xml:space="preserve">di OJK </w:t>
      </w:r>
      <w:r w:rsidR="00C662B9">
        <w:rPr>
          <w:rFonts w:ascii="Bookman Old Style" w:hAnsi="Bookman Old Style"/>
          <w:sz w:val="22"/>
          <w:szCs w:val="22"/>
          <w:lang w:val="id-ID"/>
        </w:rPr>
        <w:t xml:space="preserve">sebagai </w:t>
      </w:r>
      <w:r w:rsidRPr="007F541B">
        <w:rPr>
          <w:rFonts w:ascii="Bookman Old Style" w:hAnsi="Bookman Old Style"/>
          <w:sz w:val="22"/>
          <w:szCs w:val="22"/>
          <w:lang w:val="id-ID"/>
        </w:rPr>
        <w:t xml:space="preserve">anggota internal KPKS. Untuk anggota eksternal KPKS terdiri dari 2 orang perwakilan Dewan Syariah Nasional - Majelis Ulama Indonesia (DSN - MUI) sebagai </w:t>
      </w:r>
      <w:r w:rsidRPr="00D6168E">
        <w:rPr>
          <w:rFonts w:ascii="Bookman Old Style" w:hAnsi="Bookman Old Style"/>
          <w:i/>
          <w:sz w:val="22"/>
          <w:szCs w:val="22"/>
          <w:lang w:val="id-ID"/>
        </w:rPr>
        <w:t>Affiliated Member</w:t>
      </w:r>
      <w:r w:rsidRPr="007F541B">
        <w:rPr>
          <w:rFonts w:ascii="Bookman Old Style" w:hAnsi="Bookman Old Style"/>
          <w:sz w:val="22"/>
          <w:szCs w:val="22"/>
          <w:lang w:val="id-ID"/>
        </w:rPr>
        <w:t xml:space="preserve"> dan 3 orang perwakilan dari kalangan profesional sebagai </w:t>
      </w:r>
      <w:r w:rsidRPr="00D6168E">
        <w:rPr>
          <w:rFonts w:ascii="Bookman Old Style" w:hAnsi="Bookman Old Style"/>
          <w:i/>
          <w:sz w:val="22"/>
          <w:szCs w:val="22"/>
          <w:lang w:val="id-ID"/>
        </w:rPr>
        <w:t>Non Affiliated Member</w:t>
      </w:r>
      <w:r w:rsidRPr="007F541B">
        <w:rPr>
          <w:rFonts w:ascii="Bookman Old Style" w:hAnsi="Bookman Old Style"/>
          <w:sz w:val="22"/>
          <w:szCs w:val="22"/>
          <w:lang w:val="id-ID"/>
        </w:rPr>
        <w:t>, yaitu Anwar Abbas, Hasanudin, Dian Masyita, Mohammad Mahbubi Ali, M. Gunawan Yasni</w:t>
      </w:r>
      <w:r w:rsidR="00DB5475" w:rsidRPr="007F541B">
        <w:rPr>
          <w:rFonts w:ascii="Bookman Old Style" w:hAnsi="Bookman Old Style"/>
          <w:sz w:val="22"/>
          <w:szCs w:val="22"/>
          <w:lang w:val="id-ID"/>
        </w:rPr>
        <w:t>.</w:t>
      </w:r>
    </w:p>
    <w:p w14:paraId="35A6027D" w14:textId="018FCC4A" w:rsidR="007D6D18" w:rsidRPr="007F541B" w:rsidRDefault="004A48A6" w:rsidP="00DB5475">
      <w:pPr>
        <w:pStyle w:val="ListParagraph"/>
        <w:numPr>
          <w:ilvl w:val="1"/>
          <w:numId w:val="6"/>
        </w:numPr>
        <w:spacing w:after="60" w:line="276" w:lineRule="auto"/>
        <w:ind w:left="709" w:hanging="284"/>
        <w:contextualSpacing w:val="0"/>
        <w:jc w:val="both"/>
        <w:rPr>
          <w:rFonts w:ascii="Bookman Old Style" w:hAnsi="Bookman Old Style"/>
          <w:sz w:val="22"/>
          <w:szCs w:val="22"/>
          <w:lang w:val="id-ID"/>
        </w:rPr>
      </w:pPr>
      <w:r w:rsidRPr="007F541B">
        <w:rPr>
          <w:rFonts w:ascii="Bookman Old Style" w:hAnsi="Bookman Old Style"/>
          <w:sz w:val="22"/>
          <w:szCs w:val="22"/>
          <w:lang w:val="id-ID"/>
        </w:rPr>
        <w:t>Peluncuran</w:t>
      </w:r>
      <w:r w:rsidR="00D83D50" w:rsidRPr="007F541B">
        <w:rPr>
          <w:rFonts w:ascii="Bookman Old Style" w:hAnsi="Bookman Old Style"/>
          <w:sz w:val="22"/>
          <w:szCs w:val="22"/>
          <w:lang w:val="id-ID"/>
        </w:rPr>
        <w:t xml:space="preserve"> Laporan Perkembangan Keuangan Syariah Indonesia (LPKSI) 2024 dengan tema “Transformasi Arah Kebijakan dalam Rangka Aktualisasi Pengembangan dan Penguatan Keuangan Syariah" yang menjelaskan strategi industri keuangan syariah yang dinilai mampu mempertahankan kinerja dan beradaptasi di tengah dinamika global</w:t>
      </w:r>
      <w:r w:rsidR="001767A6" w:rsidRPr="007F541B">
        <w:rPr>
          <w:rFonts w:ascii="Bookman Old Style" w:hAnsi="Bookman Old Style"/>
          <w:sz w:val="22"/>
          <w:szCs w:val="22"/>
          <w:lang w:val="id-ID"/>
        </w:rPr>
        <w:t>.</w:t>
      </w:r>
    </w:p>
    <w:p w14:paraId="7DB18443" w14:textId="4F947C71" w:rsidR="001767A6" w:rsidRPr="007F541B" w:rsidRDefault="001714DE" w:rsidP="00DB5475">
      <w:pPr>
        <w:pStyle w:val="ListParagraph"/>
        <w:numPr>
          <w:ilvl w:val="1"/>
          <w:numId w:val="6"/>
        </w:numPr>
        <w:spacing w:after="60" w:line="276" w:lineRule="auto"/>
        <w:ind w:left="709" w:hanging="284"/>
        <w:contextualSpacing w:val="0"/>
        <w:jc w:val="both"/>
        <w:rPr>
          <w:rFonts w:ascii="Bookman Old Style" w:hAnsi="Bookman Old Style"/>
          <w:sz w:val="22"/>
          <w:szCs w:val="22"/>
          <w:lang w:val="id-ID"/>
        </w:rPr>
      </w:pPr>
      <w:r w:rsidRPr="007F541B">
        <w:rPr>
          <w:rFonts w:ascii="Bookman Old Style" w:hAnsi="Bookman Old Style"/>
          <w:sz w:val="22"/>
          <w:szCs w:val="22"/>
          <w:lang w:val="id-ID"/>
        </w:rPr>
        <w:t>I</w:t>
      </w:r>
      <w:r w:rsidR="001767A6" w:rsidRPr="007F541B">
        <w:rPr>
          <w:rFonts w:ascii="Bookman Old Style" w:hAnsi="Bookman Old Style"/>
          <w:sz w:val="22"/>
          <w:szCs w:val="22"/>
          <w:lang w:val="id-ID"/>
        </w:rPr>
        <w:t xml:space="preserve">mplementasi produk unik </w:t>
      </w:r>
      <w:r w:rsidR="00BC191B" w:rsidRPr="007F541B">
        <w:rPr>
          <w:rFonts w:ascii="Bookman Old Style" w:hAnsi="Bookman Old Style"/>
          <w:sz w:val="22"/>
          <w:szCs w:val="22"/>
          <w:lang w:val="id-ID"/>
        </w:rPr>
        <w:t>bagi</w:t>
      </w:r>
      <w:r w:rsidR="001767A6" w:rsidRPr="007F541B">
        <w:rPr>
          <w:rFonts w:ascii="Bookman Old Style" w:hAnsi="Bookman Old Style"/>
          <w:sz w:val="22"/>
          <w:szCs w:val="22"/>
          <w:lang w:val="id-ID"/>
        </w:rPr>
        <w:t xml:space="preserve"> industri perbankan syariah sebagai bagian dari pelaksanaan tindak lanjut </w:t>
      </w:r>
      <w:r w:rsidR="001767A6" w:rsidRPr="007F541B">
        <w:rPr>
          <w:rFonts w:ascii="Bookman Old Style" w:hAnsi="Bookman Old Style"/>
          <w:i/>
          <w:iCs/>
          <w:sz w:val="22"/>
          <w:szCs w:val="22"/>
          <w:lang w:val="id-ID"/>
        </w:rPr>
        <w:t>Roadmap</w:t>
      </w:r>
      <w:r w:rsidR="001767A6" w:rsidRPr="007F541B">
        <w:rPr>
          <w:rFonts w:ascii="Bookman Old Style" w:hAnsi="Bookman Old Style"/>
          <w:sz w:val="22"/>
          <w:szCs w:val="22"/>
          <w:lang w:val="id-ID"/>
        </w:rPr>
        <w:t xml:space="preserve"> Pengembangan dan Penguatan Perbankan Syariah Indonesia (RP3SI) 2023-2027 dalam rangka memperkuat karakteristik produk perbankan syariah</w:t>
      </w:r>
      <w:r w:rsidR="00DD7832" w:rsidRPr="007F541B">
        <w:rPr>
          <w:rFonts w:ascii="Bookman Old Style" w:hAnsi="Bookman Old Style"/>
          <w:sz w:val="22"/>
          <w:szCs w:val="22"/>
          <w:lang w:val="id-ID"/>
        </w:rPr>
        <w:t>, melalui</w:t>
      </w:r>
      <w:r w:rsidR="001767A6" w:rsidRPr="007F541B">
        <w:rPr>
          <w:rFonts w:ascii="Bookman Old Style" w:hAnsi="Bookman Old Style"/>
          <w:sz w:val="22"/>
          <w:szCs w:val="22"/>
          <w:lang w:val="id-ID"/>
        </w:rPr>
        <w:t xml:space="preserve"> kegiatan </w:t>
      </w:r>
      <w:r w:rsidR="001767A6" w:rsidRPr="007F541B">
        <w:rPr>
          <w:rFonts w:ascii="Bookman Old Style" w:hAnsi="Bookman Old Style"/>
          <w:i/>
          <w:iCs/>
          <w:sz w:val="22"/>
          <w:szCs w:val="22"/>
          <w:lang w:val="id-ID"/>
        </w:rPr>
        <w:t>workshop</w:t>
      </w:r>
      <w:r w:rsidR="001767A6" w:rsidRPr="007F541B">
        <w:rPr>
          <w:rFonts w:ascii="Bookman Old Style" w:hAnsi="Bookman Old Style"/>
          <w:sz w:val="22"/>
          <w:szCs w:val="22"/>
          <w:lang w:val="id-ID"/>
        </w:rPr>
        <w:t xml:space="preserve"> implementasi produk unik syariah kepada industri BPRS yaitu </w:t>
      </w:r>
      <w:r w:rsidR="001767A6" w:rsidRPr="00D6168E">
        <w:rPr>
          <w:rFonts w:ascii="Bookman Old Style" w:hAnsi="Bookman Old Style"/>
          <w:i/>
          <w:sz w:val="22"/>
          <w:szCs w:val="22"/>
          <w:lang w:val="id-ID"/>
        </w:rPr>
        <w:t>Cash Waqf Linked Deposit</w:t>
      </w:r>
      <w:r w:rsidR="001767A6" w:rsidRPr="007F541B">
        <w:rPr>
          <w:rFonts w:ascii="Bookman Old Style" w:hAnsi="Bookman Old Style"/>
          <w:sz w:val="22"/>
          <w:szCs w:val="22"/>
          <w:lang w:val="id-ID"/>
        </w:rPr>
        <w:t xml:space="preserve"> (CWLD) bersinergi dengan </w:t>
      </w:r>
      <w:r w:rsidR="001767A6" w:rsidRPr="007F541B">
        <w:rPr>
          <w:rFonts w:ascii="Bookman Old Style" w:hAnsi="Bookman Old Style"/>
          <w:i/>
          <w:iCs/>
          <w:sz w:val="22"/>
          <w:szCs w:val="22"/>
          <w:lang w:val="id-ID"/>
        </w:rPr>
        <w:t>social finance</w:t>
      </w:r>
      <w:r w:rsidR="001767A6" w:rsidRPr="007F541B">
        <w:rPr>
          <w:rFonts w:ascii="Bookman Old Style" w:hAnsi="Bookman Old Style"/>
          <w:sz w:val="22"/>
          <w:szCs w:val="22"/>
          <w:lang w:val="id-ID"/>
        </w:rPr>
        <w:t xml:space="preserve"> di wilayah sekitar BPRS dan produk pembiayaan </w:t>
      </w:r>
      <w:r w:rsidR="001767A6" w:rsidRPr="007F541B">
        <w:rPr>
          <w:rFonts w:ascii="Bookman Old Style" w:hAnsi="Bookman Old Style"/>
          <w:i/>
          <w:iCs/>
          <w:sz w:val="22"/>
          <w:szCs w:val="22"/>
          <w:lang w:val="id-ID"/>
        </w:rPr>
        <w:t>Istishna</w:t>
      </w:r>
      <w:r w:rsidR="001767A6" w:rsidRPr="007F541B">
        <w:rPr>
          <w:rFonts w:ascii="Bookman Old Style" w:hAnsi="Bookman Old Style"/>
          <w:sz w:val="22"/>
          <w:szCs w:val="22"/>
          <w:lang w:val="id-ID"/>
        </w:rPr>
        <w:t xml:space="preserve">’ untuk mengakomodasi kebutuhan pembiayaan segmen renovasi rumah dan pesanan dengan pembuatan dalam </w:t>
      </w:r>
      <w:r w:rsidR="001767A6" w:rsidRPr="007F541B">
        <w:rPr>
          <w:rFonts w:ascii="Bookman Old Style" w:hAnsi="Bookman Old Style"/>
          <w:sz w:val="22"/>
          <w:szCs w:val="22"/>
          <w:lang w:val="id-ID"/>
        </w:rPr>
        <w:lastRenderedPageBreak/>
        <w:t>jangka waktu pendek.</w:t>
      </w:r>
      <w:r w:rsidR="00AB4BCE" w:rsidRPr="007F541B">
        <w:rPr>
          <w:rFonts w:ascii="Bookman Old Style" w:hAnsi="Bookman Old Style"/>
          <w:sz w:val="22"/>
          <w:szCs w:val="22"/>
          <w:lang w:val="id-ID"/>
        </w:rPr>
        <w:t xml:space="preserve"> Kegiatan dimaksud  diselenggarakan di Surabaya pada 21-22 Juli 2025 </w:t>
      </w:r>
      <w:r w:rsidR="00D43566" w:rsidRPr="007F541B">
        <w:rPr>
          <w:rFonts w:ascii="Bookman Old Style" w:hAnsi="Bookman Old Style"/>
          <w:sz w:val="22"/>
          <w:szCs w:val="22"/>
          <w:lang w:val="id-ID"/>
        </w:rPr>
        <w:t xml:space="preserve">dan </w:t>
      </w:r>
      <w:r w:rsidR="00AB4BCE" w:rsidRPr="007F541B">
        <w:rPr>
          <w:rFonts w:ascii="Bookman Old Style" w:hAnsi="Bookman Old Style"/>
          <w:sz w:val="22"/>
          <w:szCs w:val="22"/>
          <w:lang w:val="id-ID"/>
        </w:rPr>
        <w:t>dihadiri oleh 43 BPRS dari wilayah Jawa Timur dan sebagian wilayah Jawa Tengah.</w:t>
      </w:r>
    </w:p>
    <w:p w14:paraId="125F30EE" w14:textId="012CD91F" w:rsidR="001767A6" w:rsidRPr="007F541B" w:rsidRDefault="00F52BDE" w:rsidP="00DB5475">
      <w:pPr>
        <w:pStyle w:val="ListParagraph"/>
        <w:numPr>
          <w:ilvl w:val="1"/>
          <w:numId w:val="6"/>
        </w:numPr>
        <w:spacing w:after="60" w:line="276" w:lineRule="auto"/>
        <w:ind w:left="709" w:hanging="284"/>
        <w:contextualSpacing w:val="0"/>
        <w:jc w:val="both"/>
        <w:rPr>
          <w:rFonts w:ascii="Bookman Old Style" w:hAnsi="Bookman Old Style"/>
          <w:sz w:val="22"/>
          <w:szCs w:val="22"/>
          <w:lang w:val="id-ID"/>
        </w:rPr>
      </w:pPr>
      <w:r w:rsidRPr="007F541B">
        <w:rPr>
          <w:rFonts w:ascii="Bookman Old Style" w:hAnsi="Bookman Old Style"/>
          <w:sz w:val="22"/>
          <w:szCs w:val="22"/>
          <w:lang w:val="id-ID"/>
        </w:rPr>
        <w:t>Pengenalan</w:t>
      </w:r>
      <w:r w:rsidR="003C7CF6" w:rsidRPr="007F541B">
        <w:rPr>
          <w:rFonts w:ascii="Bookman Old Style" w:hAnsi="Bookman Old Style"/>
          <w:sz w:val="22"/>
          <w:szCs w:val="22"/>
          <w:lang w:val="id-ID"/>
        </w:rPr>
        <w:t xml:space="preserve"> </w:t>
      </w:r>
      <w:r w:rsidR="00CC4E99" w:rsidRPr="007F541B">
        <w:rPr>
          <w:rFonts w:ascii="Bookman Old Style" w:hAnsi="Bookman Old Style"/>
          <w:sz w:val="22"/>
          <w:szCs w:val="22"/>
          <w:lang w:val="id-ID"/>
        </w:rPr>
        <w:t xml:space="preserve">kerangka </w:t>
      </w:r>
      <w:r w:rsidR="00CC4E99" w:rsidRPr="007F541B">
        <w:rPr>
          <w:rFonts w:ascii="Bookman Old Style" w:hAnsi="Bookman Old Style"/>
          <w:i/>
          <w:iCs/>
          <w:sz w:val="22"/>
          <w:szCs w:val="22"/>
          <w:lang w:val="id-ID"/>
        </w:rPr>
        <w:t>Internal Liquidity Adequacy Assessment Process (ILAAP)</w:t>
      </w:r>
      <w:r w:rsidR="00CC4E99" w:rsidRPr="007F541B">
        <w:rPr>
          <w:rFonts w:ascii="Bookman Old Style" w:hAnsi="Bookman Old Style"/>
          <w:sz w:val="22"/>
          <w:szCs w:val="22"/>
          <w:lang w:val="id-ID"/>
        </w:rPr>
        <w:t xml:space="preserve"> dengan industri </w:t>
      </w:r>
      <w:r w:rsidR="005F1050">
        <w:rPr>
          <w:rFonts w:ascii="Bookman Old Style" w:hAnsi="Bookman Old Style"/>
          <w:sz w:val="22"/>
          <w:szCs w:val="22"/>
          <w:lang w:val="id-ID"/>
        </w:rPr>
        <w:t>Bank Umum Syariah (</w:t>
      </w:r>
      <w:r w:rsidR="00CC4E99" w:rsidRPr="007F541B">
        <w:rPr>
          <w:rFonts w:ascii="Bookman Old Style" w:hAnsi="Bookman Old Style"/>
          <w:sz w:val="22"/>
          <w:szCs w:val="22"/>
          <w:lang w:val="id-ID"/>
        </w:rPr>
        <w:t>BUS</w:t>
      </w:r>
      <w:r w:rsidR="005F1050">
        <w:rPr>
          <w:rFonts w:ascii="Bookman Old Style" w:hAnsi="Bookman Old Style"/>
          <w:sz w:val="22"/>
          <w:szCs w:val="22"/>
          <w:lang w:val="id-ID"/>
        </w:rPr>
        <w:t>)</w:t>
      </w:r>
      <w:r w:rsidR="00CC4E99" w:rsidRPr="007F541B">
        <w:rPr>
          <w:rFonts w:ascii="Bookman Old Style" w:hAnsi="Bookman Old Style"/>
          <w:sz w:val="22"/>
          <w:szCs w:val="22"/>
          <w:lang w:val="id-ID"/>
        </w:rPr>
        <w:t xml:space="preserve"> dan UUS yang merupakan salah satu komponen dari standar</w:t>
      </w:r>
      <w:r w:rsidRPr="007F541B">
        <w:rPr>
          <w:rFonts w:ascii="Bookman Old Style" w:hAnsi="Bookman Old Style"/>
          <w:sz w:val="22"/>
          <w:szCs w:val="22"/>
          <w:lang w:val="id-ID"/>
        </w:rPr>
        <w:t>d</w:t>
      </w:r>
      <w:r w:rsidR="00CC4E99" w:rsidRPr="007F541B">
        <w:rPr>
          <w:rFonts w:ascii="Bookman Old Style" w:hAnsi="Bookman Old Style"/>
          <w:sz w:val="22"/>
          <w:szCs w:val="22"/>
          <w:lang w:val="id-ID"/>
        </w:rPr>
        <w:t xml:space="preserve"> interna</w:t>
      </w:r>
      <w:r w:rsidR="005D5F40" w:rsidRPr="007F541B">
        <w:rPr>
          <w:rFonts w:ascii="Bookman Old Style" w:hAnsi="Bookman Old Style"/>
          <w:sz w:val="22"/>
          <w:szCs w:val="22"/>
          <w:lang w:val="id-ID"/>
        </w:rPr>
        <w:t>s</w:t>
      </w:r>
      <w:r w:rsidR="00CC4E99" w:rsidRPr="007F541B">
        <w:rPr>
          <w:rFonts w:ascii="Bookman Old Style" w:hAnsi="Bookman Old Style"/>
          <w:sz w:val="22"/>
          <w:szCs w:val="22"/>
          <w:lang w:val="id-ID"/>
        </w:rPr>
        <w:t xml:space="preserve">ional yang berkaitan dengan </w:t>
      </w:r>
      <w:r w:rsidR="00CC4E99" w:rsidRPr="007F541B">
        <w:rPr>
          <w:rFonts w:ascii="Bookman Old Style" w:hAnsi="Bookman Old Style"/>
          <w:i/>
          <w:iCs/>
          <w:sz w:val="22"/>
          <w:szCs w:val="22"/>
          <w:lang w:val="id-ID"/>
        </w:rPr>
        <w:t xml:space="preserve">Liquidity Coverage Ratio </w:t>
      </w:r>
      <w:r w:rsidR="00385865" w:rsidRPr="007F541B">
        <w:rPr>
          <w:rFonts w:ascii="Bookman Old Style" w:hAnsi="Bookman Old Style"/>
          <w:sz w:val="22"/>
          <w:szCs w:val="22"/>
          <w:lang w:val="id-ID"/>
        </w:rPr>
        <w:t xml:space="preserve">pada FGD </w:t>
      </w:r>
      <w:r w:rsidR="00D976D7" w:rsidRPr="007F541B">
        <w:rPr>
          <w:rFonts w:ascii="Bookman Old Style" w:hAnsi="Bookman Old Style"/>
          <w:sz w:val="22"/>
          <w:szCs w:val="22"/>
          <w:lang w:val="id-ID"/>
        </w:rPr>
        <w:t>yang dise</w:t>
      </w:r>
      <w:r w:rsidR="004338AC" w:rsidRPr="007F541B">
        <w:rPr>
          <w:rFonts w:ascii="Bookman Old Style" w:hAnsi="Bookman Old Style"/>
          <w:sz w:val="22"/>
          <w:szCs w:val="22"/>
          <w:lang w:val="id-ID"/>
        </w:rPr>
        <w:t>l</w:t>
      </w:r>
      <w:r w:rsidR="00D976D7" w:rsidRPr="007F541B">
        <w:rPr>
          <w:rFonts w:ascii="Bookman Old Style" w:hAnsi="Bookman Old Style"/>
          <w:sz w:val="22"/>
          <w:szCs w:val="22"/>
          <w:lang w:val="id-ID"/>
        </w:rPr>
        <w:t xml:space="preserve">enggarakan </w:t>
      </w:r>
      <w:r w:rsidR="009238F6" w:rsidRPr="007F541B">
        <w:rPr>
          <w:rFonts w:ascii="Bookman Old Style" w:hAnsi="Bookman Old Style"/>
          <w:sz w:val="22"/>
          <w:szCs w:val="22"/>
          <w:lang w:val="id-ID"/>
        </w:rPr>
        <w:t>tanggal</w:t>
      </w:r>
      <w:r w:rsidR="00CC4E99" w:rsidRPr="007F541B">
        <w:rPr>
          <w:rFonts w:ascii="Bookman Old Style" w:hAnsi="Bookman Old Style"/>
          <w:sz w:val="22"/>
          <w:szCs w:val="22"/>
          <w:lang w:val="id-ID"/>
        </w:rPr>
        <w:t xml:space="preserve"> 25 Juli 2025</w:t>
      </w:r>
      <w:r w:rsidR="00244BBA" w:rsidRPr="007F541B">
        <w:rPr>
          <w:rFonts w:ascii="Bookman Old Style" w:hAnsi="Bookman Old Style"/>
          <w:sz w:val="22"/>
          <w:szCs w:val="22"/>
          <w:lang w:val="id-ID"/>
        </w:rPr>
        <w:t xml:space="preserve"> </w:t>
      </w:r>
      <w:r w:rsidR="008C7F66" w:rsidRPr="007F541B">
        <w:rPr>
          <w:rFonts w:ascii="Bookman Old Style" w:hAnsi="Bookman Old Style"/>
          <w:sz w:val="22"/>
          <w:szCs w:val="22"/>
          <w:lang w:val="id-ID"/>
        </w:rPr>
        <w:t>d</w:t>
      </w:r>
      <w:r w:rsidR="00244BBA" w:rsidRPr="007F541B">
        <w:rPr>
          <w:rFonts w:ascii="Bookman Old Style" w:hAnsi="Bookman Old Style"/>
          <w:sz w:val="22"/>
          <w:szCs w:val="22"/>
          <w:lang w:val="id-ID"/>
        </w:rPr>
        <w:t>alam rangka memperkuat pengelolaan likuiditas di industri Bank Umum Syariah (BUS) dan Unit Usaha Syariah (UUS)</w:t>
      </w:r>
      <w:r w:rsidR="00CC4E99" w:rsidRPr="007F541B">
        <w:rPr>
          <w:rFonts w:ascii="Bookman Old Style" w:hAnsi="Bookman Old Style"/>
          <w:sz w:val="22"/>
          <w:szCs w:val="22"/>
          <w:lang w:val="id-ID"/>
        </w:rPr>
        <w:t>.</w:t>
      </w:r>
      <w:r w:rsidR="008C7F66" w:rsidRPr="007F541B">
        <w:rPr>
          <w:rFonts w:ascii="Bookman Old Style" w:hAnsi="Bookman Old Style"/>
          <w:sz w:val="22"/>
          <w:szCs w:val="22"/>
          <w:lang w:val="id-ID"/>
        </w:rPr>
        <w:t xml:space="preserve"> </w:t>
      </w:r>
      <w:r w:rsidR="00CC4E99" w:rsidRPr="007F541B">
        <w:rPr>
          <w:rFonts w:ascii="Bookman Old Style" w:hAnsi="Bookman Old Style"/>
          <w:sz w:val="22"/>
          <w:szCs w:val="22"/>
          <w:lang w:val="id-ID"/>
        </w:rPr>
        <w:t xml:space="preserve">ILAAP adalah </w:t>
      </w:r>
      <w:r w:rsidR="00CC4E99" w:rsidRPr="007F541B">
        <w:rPr>
          <w:rFonts w:ascii="Bookman Old Style" w:hAnsi="Bookman Old Style"/>
          <w:i/>
          <w:iCs/>
          <w:sz w:val="22"/>
          <w:szCs w:val="22"/>
          <w:lang w:val="id-ID"/>
        </w:rPr>
        <w:t xml:space="preserve">self assessment </w:t>
      </w:r>
      <w:r w:rsidR="00CC4E99" w:rsidRPr="007F541B">
        <w:rPr>
          <w:rFonts w:ascii="Bookman Old Style" w:hAnsi="Bookman Old Style"/>
          <w:sz w:val="22"/>
          <w:szCs w:val="22"/>
          <w:lang w:val="id-ID"/>
        </w:rPr>
        <w:t>industri atas kondisi likuiditas internalnya, sehingga diharapkan mampu menjadi parameter likuiditas yang lebih representatif dengan ukuran, karakteristik dan kompleksitas industri dimaksud, yang pada akhirnya akan membantu BUS dan UUS mengelola likuiditas secara lebih efektif dan efisien guna mendorong penguatan bisnis ke depannya.</w:t>
      </w:r>
    </w:p>
    <w:p w14:paraId="6AB3CD82" w14:textId="77777777" w:rsidR="00DB5475" w:rsidRPr="007F541B" w:rsidRDefault="00DB5475" w:rsidP="00D6168E">
      <w:pPr>
        <w:numPr>
          <w:ilvl w:val="0"/>
          <w:numId w:val="7"/>
        </w:numPr>
        <w:tabs>
          <w:tab w:val="clear" w:pos="720"/>
          <w:tab w:val="num" w:pos="426"/>
        </w:tabs>
        <w:spacing w:before="120" w:after="0" w:line="276" w:lineRule="auto"/>
        <w:ind w:left="425" w:hanging="425"/>
        <w:jc w:val="both"/>
        <w:rPr>
          <w:rFonts w:ascii="Bookman Old Style" w:hAnsi="Bookman Old Style"/>
          <w:sz w:val="22"/>
          <w:szCs w:val="22"/>
          <w:u w:val="single"/>
          <w:lang w:val="id-ID"/>
        </w:rPr>
      </w:pPr>
      <w:r w:rsidRPr="007F541B">
        <w:rPr>
          <w:rFonts w:ascii="Bookman Old Style" w:hAnsi="Bookman Old Style"/>
          <w:sz w:val="22"/>
          <w:szCs w:val="22"/>
          <w:u w:val="single"/>
          <w:lang w:val="id-ID"/>
        </w:rPr>
        <w:t>Penguatan Tata Kelola OJK</w:t>
      </w:r>
    </w:p>
    <w:p w14:paraId="5E14A87F" w14:textId="38CDA6B2" w:rsidR="009414C2" w:rsidRPr="00D6168E" w:rsidRDefault="009414C2" w:rsidP="00D6168E">
      <w:pPr>
        <w:pStyle w:val="ListParagraph"/>
        <w:numPr>
          <w:ilvl w:val="6"/>
          <w:numId w:val="7"/>
        </w:numPr>
        <w:tabs>
          <w:tab w:val="clear" w:pos="5040"/>
          <w:tab w:val="num" w:pos="4680"/>
        </w:tabs>
        <w:spacing w:after="60" w:line="276" w:lineRule="auto"/>
        <w:ind w:left="709" w:hanging="284"/>
        <w:contextualSpacing w:val="0"/>
        <w:jc w:val="both"/>
        <w:rPr>
          <w:rFonts w:ascii="Bookman Old Style" w:eastAsia="Bookman Old Style" w:hAnsi="Bookman Old Style" w:cs="Bookman Old Style"/>
          <w:color w:val="000000" w:themeColor="text1"/>
          <w:sz w:val="22"/>
          <w:szCs w:val="22"/>
          <w:lang w:val="id-ID"/>
        </w:rPr>
      </w:pPr>
      <w:r w:rsidRPr="007F541B">
        <w:rPr>
          <w:rFonts w:ascii="Bookman Old Style" w:eastAsia="Bookman Old Style" w:hAnsi="Bookman Old Style" w:cs="Bookman Old Style"/>
          <w:color w:val="000000" w:themeColor="text1"/>
          <w:sz w:val="22"/>
          <w:szCs w:val="22"/>
          <w:lang w:val="id-ID"/>
        </w:rPr>
        <w:t xml:space="preserve">OJK terus memperkuat fungsi manajemen risiko dengan berfokus pada identifikasi risiko utama, perencanaan dan </w:t>
      </w:r>
      <w:r w:rsidRPr="0091270C">
        <w:rPr>
          <w:rFonts w:ascii="Bookman Old Style" w:eastAsia="Bookman Old Style" w:hAnsi="Bookman Old Style" w:cs="Bookman Old Style"/>
          <w:i/>
          <w:iCs/>
          <w:color w:val="000000" w:themeColor="text1"/>
          <w:sz w:val="22"/>
          <w:szCs w:val="22"/>
          <w:lang w:val="id-ID"/>
        </w:rPr>
        <w:t xml:space="preserve">monitoring </w:t>
      </w:r>
      <w:r w:rsidRPr="007F541B">
        <w:rPr>
          <w:rFonts w:ascii="Bookman Old Style" w:eastAsia="Bookman Old Style" w:hAnsi="Bookman Old Style" w:cs="Bookman Old Style"/>
          <w:color w:val="000000" w:themeColor="text1"/>
          <w:sz w:val="22"/>
          <w:szCs w:val="22"/>
          <w:lang w:val="id-ID"/>
        </w:rPr>
        <w:t xml:space="preserve">mitigasi yang lebih baik, serta dukungan </w:t>
      </w:r>
      <w:r w:rsidRPr="00D6168E">
        <w:rPr>
          <w:rFonts w:ascii="Bookman Old Style" w:eastAsia="Bookman Old Style" w:hAnsi="Bookman Old Style" w:cs="Bookman Old Style"/>
          <w:i/>
          <w:color w:val="000000" w:themeColor="text1"/>
          <w:sz w:val="22"/>
          <w:szCs w:val="22"/>
          <w:lang w:val="id-ID"/>
        </w:rPr>
        <w:t>tools</w:t>
      </w:r>
      <w:r w:rsidRPr="007F541B">
        <w:rPr>
          <w:rFonts w:ascii="Bookman Old Style" w:eastAsia="Bookman Old Style" w:hAnsi="Bookman Old Style" w:cs="Bookman Old Style"/>
          <w:color w:val="000000" w:themeColor="text1"/>
          <w:sz w:val="22"/>
          <w:szCs w:val="22"/>
          <w:lang w:val="id-ID"/>
        </w:rPr>
        <w:t xml:space="preserve"> dan pelaporan yang tepat guna mendukung pengambilan keputusan strategis. Salah satu upaya penguatan ini dilakukan melalui </w:t>
      </w:r>
      <w:r w:rsidRPr="00D6168E">
        <w:rPr>
          <w:rFonts w:ascii="Bookman Old Style" w:eastAsia="Bookman Old Style" w:hAnsi="Bookman Old Style" w:cs="Bookman Old Style"/>
          <w:i/>
          <w:color w:val="000000" w:themeColor="text1"/>
          <w:sz w:val="22"/>
          <w:szCs w:val="22"/>
          <w:lang w:val="id-ID"/>
        </w:rPr>
        <w:t>enhancement</w:t>
      </w:r>
      <w:r w:rsidRPr="007F541B">
        <w:rPr>
          <w:rFonts w:ascii="Bookman Old Style" w:eastAsia="Bookman Old Style" w:hAnsi="Bookman Old Style" w:cs="Bookman Old Style"/>
          <w:color w:val="000000" w:themeColor="text1"/>
          <w:sz w:val="22"/>
          <w:szCs w:val="22"/>
          <w:lang w:val="id-ID"/>
        </w:rPr>
        <w:t xml:space="preserve"> atas Sistem Informasi </w:t>
      </w:r>
      <w:r w:rsidRPr="007F541B">
        <w:rPr>
          <w:rFonts w:ascii="Bookman Old Style" w:eastAsia="Bookman Old Style" w:hAnsi="Bookman Old Style" w:cs="Bookman Old Style"/>
          <w:i/>
          <w:color w:val="000000" w:themeColor="text1"/>
          <w:sz w:val="22"/>
          <w:szCs w:val="22"/>
          <w:lang w:val="id-ID"/>
        </w:rPr>
        <w:t>Governance, Risk</w:t>
      </w:r>
      <w:r w:rsidRPr="007F541B">
        <w:rPr>
          <w:rFonts w:ascii="Bookman Old Style" w:eastAsia="Bookman Old Style" w:hAnsi="Bookman Old Style" w:cs="Bookman Old Style"/>
          <w:color w:val="000000" w:themeColor="text1"/>
          <w:sz w:val="22"/>
          <w:szCs w:val="22"/>
          <w:lang w:val="id-ID"/>
        </w:rPr>
        <w:t xml:space="preserve">, and </w:t>
      </w:r>
      <w:r w:rsidRPr="007F541B">
        <w:rPr>
          <w:rFonts w:ascii="Bookman Old Style" w:eastAsia="Bookman Old Style" w:hAnsi="Bookman Old Style" w:cs="Bookman Old Style"/>
          <w:i/>
          <w:color w:val="000000" w:themeColor="text1"/>
          <w:sz w:val="22"/>
          <w:szCs w:val="22"/>
          <w:lang w:val="id-ID"/>
        </w:rPr>
        <w:t>Compliance</w:t>
      </w:r>
      <w:r w:rsidRPr="007F541B">
        <w:rPr>
          <w:rFonts w:ascii="Bookman Old Style" w:eastAsia="Bookman Old Style" w:hAnsi="Bookman Old Style" w:cs="Bookman Old Style"/>
          <w:color w:val="000000" w:themeColor="text1"/>
          <w:sz w:val="22"/>
          <w:szCs w:val="22"/>
          <w:lang w:val="id-ID"/>
        </w:rPr>
        <w:t xml:space="preserve"> (SI-GRC), yang mengintegrasikan </w:t>
      </w:r>
      <w:r w:rsidR="0091270C">
        <w:rPr>
          <w:rFonts w:ascii="Bookman Old Style" w:eastAsia="Bookman Old Style" w:hAnsi="Bookman Old Style" w:cs="Bookman Old Style"/>
          <w:color w:val="000000" w:themeColor="text1"/>
          <w:sz w:val="22"/>
          <w:szCs w:val="22"/>
          <w:lang w:val="id-ID"/>
        </w:rPr>
        <w:t>empat</w:t>
      </w:r>
      <w:r w:rsidR="00357450">
        <w:rPr>
          <w:rFonts w:ascii="Bookman Old Style" w:eastAsia="Bookman Old Style" w:hAnsi="Bookman Old Style" w:cs="Bookman Old Style"/>
          <w:color w:val="000000" w:themeColor="text1"/>
          <w:sz w:val="22"/>
          <w:szCs w:val="22"/>
          <w:lang w:val="id-ID"/>
        </w:rPr>
        <w:t xml:space="preserve"> </w:t>
      </w:r>
      <w:r w:rsidRPr="007F541B">
        <w:rPr>
          <w:rFonts w:ascii="Bookman Old Style" w:eastAsia="Bookman Old Style" w:hAnsi="Bookman Old Style" w:cs="Bookman Old Style"/>
          <w:color w:val="000000" w:themeColor="text1"/>
          <w:sz w:val="22"/>
          <w:szCs w:val="22"/>
          <w:lang w:val="id-ID"/>
        </w:rPr>
        <w:t xml:space="preserve">sistem informasi untuk pelaporan gratifikasi, manajemen risiko, pengendalian kualitas, dan audit internal, ke dalam satu </w:t>
      </w:r>
      <w:r w:rsidRPr="007F541B">
        <w:rPr>
          <w:rFonts w:ascii="Bookman Old Style" w:eastAsia="Bookman Old Style" w:hAnsi="Bookman Old Style" w:cs="Bookman Old Style"/>
          <w:i/>
          <w:color w:val="000000" w:themeColor="text1"/>
          <w:sz w:val="22"/>
          <w:szCs w:val="22"/>
          <w:lang w:val="id-ID"/>
        </w:rPr>
        <w:t>platform</w:t>
      </w:r>
      <w:r w:rsidRPr="007F541B">
        <w:rPr>
          <w:rFonts w:ascii="Bookman Old Style" w:eastAsia="Bookman Old Style" w:hAnsi="Bookman Old Style" w:cs="Bookman Old Style"/>
          <w:color w:val="000000" w:themeColor="text1"/>
          <w:sz w:val="22"/>
          <w:szCs w:val="22"/>
          <w:lang w:val="id-ID"/>
        </w:rPr>
        <w:t xml:space="preserve"> terpadu. </w:t>
      </w:r>
      <w:r w:rsidRPr="007F541B">
        <w:rPr>
          <w:rFonts w:ascii="Bookman Old Style" w:eastAsia="Bookman Old Style" w:hAnsi="Bookman Old Style" w:cs="Bookman Old Style"/>
          <w:i/>
          <w:color w:val="000000" w:themeColor="text1"/>
          <w:sz w:val="22"/>
          <w:szCs w:val="22"/>
          <w:lang w:val="id-ID"/>
        </w:rPr>
        <w:t>Enhancement</w:t>
      </w:r>
      <w:r w:rsidRPr="007F541B">
        <w:rPr>
          <w:rFonts w:ascii="Bookman Old Style" w:eastAsia="Bookman Old Style" w:hAnsi="Bookman Old Style" w:cs="Bookman Old Style"/>
          <w:color w:val="000000" w:themeColor="text1"/>
          <w:sz w:val="22"/>
          <w:szCs w:val="22"/>
          <w:lang w:val="id-ID"/>
        </w:rPr>
        <w:t xml:space="preserve"> ini diharapkan mempercepat pelaporan, memaksimalkan pemanfaatan data lintas unit, dan meningkatkan efisiensi proses bisnis OJK secara keseluruhan</w:t>
      </w:r>
      <w:r w:rsidRPr="00D6168E">
        <w:rPr>
          <w:rFonts w:ascii="Bookman Old Style" w:eastAsia="Bookman Old Style" w:hAnsi="Bookman Old Style" w:cs="Bookman Old Style"/>
          <w:color w:val="000000" w:themeColor="text1"/>
          <w:sz w:val="22"/>
          <w:szCs w:val="22"/>
          <w:lang w:val="id-ID"/>
        </w:rPr>
        <w:t>.</w:t>
      </w:r>
    </w:p>
    <w:p w14:paraId="154DD85F" w14:textId="4F4A1E16" w:rsidR="00FB6BC7" w:rsidRPr="00D6168E" w:rsidRDefault="009414C2" w:rsidP="00D6168E">
      <w:pPr>
        <w:pStyle w:val="ListParagraph"/>
        <w:numPr>
          <w:ilvl w:val="6"/>
          <w:numId w:val="7"/>
        </w:numPr>
        <w:tabs>
          <w:tab w:val="clear" w:pos="5040"/>
          <w:tab w:val="num" w:pos="4680"/>
        </w:tabs>
        <w:spacing w:after="60" w:line="276" w:lineRule="auto"/>
        <w:ind w:left="709" w:hanging="284"/>
        <w:contextualSpacing w:val="0"/>
        <w:jc w:val="both"/>
        <w:rPr>
          <w:rFonts w:ascii="Bookman Old Style" w:eastAsia="Bookman Old Style" w:hAnsi="Bookman Old Style" w:cs="Bookman Old Style"/>
          <w:color w:val="000000" w:themeColor="text1"/>
          <w:sz w:val="22"/>
          <w:szCs w:val="22"/>
          <w:lang w:val="id-ID"/>
        </w:rPr>
      </w:pPr>
      <w:r w:rsidRPr="007F541B">
        <w:rPr>
          <w:rFonts w:ascii="Bookman Old Style" w:eastAsia="Bookman Old Style" w:hAnsi="Bookman Old Style" w:cs="Bookman Old Style"/>
          <w:color w:val="000000" w:themeColor="text1"/>
          <w:sz w:val="22"/>
          <w:szCs w:val="22"/>
          <w:lang w:val="id-ID"/>
        </w:rPr>
        <w:t xml:space="preserve">OJK menyelenggarakan </w:t>
      </w:r>
      <w:r w:rsidR="00F93A11" w:rsidRPr="007F541B">
        <w:rPr>
          <w:rFonts w:ascii="Bookman Old Style" w:eastAsia="Bookman Old Style" w:hAnsi="Bookman Old Style" w:cs="Bookman Old Style"/>
          <w:i/>
          <w:iCs/>
          <w:color w:val="000000" w:themeColor="text1"/>
          <w:sz w:val="22"/>
          <w:szCs w:val="22"/>
          <w:lang w:val="id-ID"/>
        </w:rPr>
        <w:t xml:space="preserve">Risk and Quality Officer </w:t>
      </w:r>
      <w:r w:rsidR="00F93A11" w:rsidRPr="007F541B">
        <w:rPr>
          <w:rFonts w:ascii="Bookman Old Style" w:eastAsia="Bookman Old Style" w:hAnsi="Bookman Old Style" w:cs="Bookman Old Style"/>
          <w:color w:val="000000" w:themeColor="text1"/>
          <w:sz w:val="22"/>
          <w:szCs w:val="22"/>
          <w:lang w:val="id-ID"/>
        </w:rPr>
        <w:t>(</w:t>
      </w:r>
      <w:r w:rsidRPr="007F541B">
        <w:rPr>
          <w:rFonts w:ascii="Bookman Old Style" w:eastAsia="Bookman Old Style" w:hAnsi="Bookman Old Style" w:cs="Bookman Old Style"/>
          <w:color w:val="000000" w:themeColor="text1"/>
          <w:sz w:val="22"/>
          <w:szCs w:val="22"/>
          <w:lang w:val="id-ID"/>
        </w:rPr>
        <w:t>RQO</w:t>
      </w:r>
      <w:r w:rsidR="00F93A11" w:rsidRPr="007F541B">
        <w:rPr>
          <w:rFonts w:ascii="Bookman Old Style" w:eastAsia="Bookman Old Style" w:hAnsi="Bookman Old Style" w:cs="Bookman Old Style"/>
          <w:color w:val="000000" w:themeColor="text1"/>
          <w:sz w:val="22"/>
          <w:szCs w:val="22"/>
          <w:lang w:val="id-ID"/>
        </w:rPr>
        <w:t>)</w:t>
      </w:r>
      <w:r w:rsidRPr="007F541B">
        <w:rPr>
          <w:rFonts w:ascii="Bookman Old Style" w:eastAsia="Bookman Old Style" w:hAnsi="Bookman Old Style" w:cs="Bookman Old Style"/>
          <w:color w:val="000000" w:themeColor="text1"/>
          <w:sz w:val="22"/>
          <w:szCs w:val="22"/>
          <w:lang w:val="id-ID"/>
        </w:rPr>
        <w:t xml:space="preserve"> Forum pada tanggal 24 Juli 2025 dalam rangka memperkenalkan hasil </w:t>
      </w:r>
      <w:r w:rsidRPr="007F541B">
        <w:rPr>
          <w:rFonts w:ascii="Bookman Old Style" w:eastAsia="Bookman Old Style" w:hAnsi="Bookman Old Style" w:cs="Bookman Old Style"/>
          <w:i/>
          <w:color w:val="000000" w:themeColor="text1"/>
          <w:sz w:val="22"/>
          <w:szCs w:val="22"/>
          <w:lang w:val="id-ID"/>
        </w:rPr>
        <w:t xml:space="preserve">enhancement </w:t>
      </w:r>
      <w:r w:rsidRPr="007F541B">
        <w:rPr>
          <w:rFonts w:ascii="Bookman Old Style" w:eastAsia="Bookman Old Style" w:hAnsi="Bookman Old Style" w:cs="Bookman Old Style"/>
          <w:color w:val="000000" w:themeColor="text1"/>
          <w:sz w:val="22"/>
          <w:szCs w:val="22"/>
          <w:lang w:val="id-ID"/>
        </w:rPr>
        <w:t xml:space="preserve">aplikasi SI-GRC sebagai sistem pelaksanaan manajemen risiko secara terintegrasi dan menyeluruh dan memperkuat budaya sadar risiko di OJK. Pada forum ini, juga dilakukan Diskusi Panel </w:t>
      </w:r>
      <w:r w:rsidRPr="007F541B">
        <w:rPr>
          <w:rFonts w:ascii="Bookman Old Style" w:eastAsia="Bookman Old Style" w:hAnsi="Bookman Old Style" w:cs="Bookman Old Style"/>
          <w:i/>
          <w:color w:val="000000" w:themeColor="text1"/>
          <w:sz w:val="22"/>
          <w:szCs w:val="22"/>
          <w:lang w:val="id-ID"/>
        </w:rPr>
        <w:t>knowledge sharing</w:t>
      </w:r>
      <w:r w:rsidRPr="007F541B">
        <w:rPr>
          <w:rFonts w:ascii="Bookman Old Style" w:eastAsia="Bookman Old Style" w:hAnsi="Bookman Old Style" w:cs="Bookman Old Style"/>
          <w:color w:val="000000" w:themeColor="text1"/>
          <w:sz w:val="22"/>
          <w:szCs w:val="22"/>
          <w:lang w:val="id-ID"/>
        </w:rPr>
        <w:t xml:space="preserve"> dengan mengundang </w:t>
      </w:r>
      <w:r w:rsidR="00A62249" w:rsidRPr="007F541B">
        <w:rPr>
          <w:rFonts w:ascii="Bookman Old Style" w:eastAsia="Bookman Old Style" w:hAnsi="Bookman Old Style" w:cs="Bookman Old Style"/>
          <w:color w:val="000000" w:themeColor="text1"/>
          <w:sz w:val="22"/>
          <w:szCs w:val="22"/>
          <w:lang w:val="id-ID"/>
        </w:rPr>
        <w:t>n</w:t>
      </w:r>
      <w:r w:rsidRPr="007F541B">
        <w:rPr>
          <w:rFonts w:ascii="Bookman Old Style" w:eastAsia="Bookman Old Style" w:hAnsi="Bookman Old Style" w:cs="Bookman Old Style"/>
          <w:color w:val="000000" w:themeColor="text1"/>
          <w:sz w:val="22"/>
          <w:szCs w:val="22"/>
          <w:lang w:val="id-ID"/>
        </w:rPr>
        <w:t xml:space="preserve">arasumber </w:t>
      </w:r>
      <w:r w:rsidR="00A62249" w:rsidRPr="007F541B">
        <w:rPr>
          <w:rFonts w:ascii="Bookman Old Style" w:eastAsia="Bookman Old Style" w:hAnsi="Bookman Old Style" w:cs="Bookman Old Style"/>
          <w:color w:val="000000" w:themeColor="text1"/>
          <w:sz w:val="22"/>
          <w:szCs w:val="22"/>
          <w:lang w:val="id-ID"/>
        </w:rPr>
        <w:t xml:space="preserve">eksternal </w:t>
      </w:r>
      <w:r w:rsidRPr="007F541B">
        <w:rPr>
          <w:rFonts w:ascii="Bookman Old Style" w:eastAsia="Bookman Old Style" w:hAnsi="Bookman Old Style" w:cs="Bookman Old Style"/>
          <w:color w:val="000000" w:themeColor="text1"/>
          <w:sz w:val="22"/>
          <w:szCs w:val="22"/>
          <w:lang w:val="id-ID"/>
        </w:rPr>
        <w:t xml:space="preserve">dari Kementerian Keuangan dan dari </w:t>
      </w:r>
      <w:r w:rsidR="00A045F7" w:rsidRPr="007F541B">
        <w:rPr>
          <w:rFonts w:ascii="Bookman Old Style" w:eastAsia="Bookman Old Style" w:hAnsi="Bookman Old Style" w:cs="Bookman Old Style"/>
          <w:color w:val="000000" w:themeColor="text1"/>
          <w:sz w:val="22"/>
          <w:szCs w:val="22"/>
          <w:lang w:val="id-ID"/>
        </w:rPr>
        <w:t>i</w:t>
      </w:r>
      <w:r w:rsidRPr="007F541B">
        <w:rPr>
          <w:rFonts w:ascii="Bookman Old Style" w:eastAsia="Bookman Old Style" w:hAnsi="Bookman Old Style" w:cs="Bookman Old Style"/>
          <w:color w:val="000000" w:themeColor="text1"/>
          <w:sz w:val="22"/>
          <w:szCs w:val="22"/>
          <w:lang w:val="id-ID"/>
        </w:rPr>
        <w:t xml:space="preserve">nternal OJK untuk meningkatkan pemahaman mengenai inovasi dan manfaat penerapan </w:t>
      </w:r>
      <w:r w:rsidR="00A62249" w:rsidRPr="007F541B">
        <w:rPr>
          <w:rFonts w:ascii="Bookman Old Style" w:eastAsia="Bookman Old Style" w:hAnsi="Bookman Old Style" w:cs="Bookman Old Style"/>
          <w:color w:val="000000" w:themeColor="text1"/>
          <w:sz w:val="22"/>
          <w:szCs w:val="22"/>
          <w:lang w:val="id-ID"/>
        </w:rPr>
        <w:t>sistem informasi</w:t>
      </w:r>
      <w:r w:rsidRPr="007F541B">
        <w:rPr>
          <w:rFonts w:ascii="Bookman Old Style" w:eastAsia="Bookman Old Style" w:hAnsi="Bookman Old Style" w:cs="Bookman Old Style"/>
          <w:color w:val="000000" w:themeColor="text1"/>
          <w:sz w:val="22"/>
          <w:szCs w:val="22"/>
          <w:lang w:val="id-ID"/>
        </w:rPr>
        <w:t xml:space="preserve"> terhadap akurasi data, efisiensi kerja, dan akuntabilitas pengelolaan risiko, strategi peningkatan kapasitas SDM, serta rencana pengembangan teknologi lanjutan dalam manajemen risiko seperti pemanfaatan </w:t>
      </w:r>
      <w:r w:rsidRPr="007F541B">
        <w:rPr>
          <w:rFonts w:ascii="Bookman Old Style" w:eastAsia="Bookman Old Style" w:hAnsi="Bookman Old Style" w:cs="Bookman Old Style"/>
          <w:i/>
          <w:color w:val="000000" w:themeColor="text1"/>
          <w:sz w:val="22"/>
          <w:szCs w:val="22"/>
          <w:lang w:val="id-ID"/>
        </w:rPr>
        <w:t>data analytics</w:t>
      </w:r>
      <w:r w:rsidRPr="007F541B">
        <w:rPr>
          <w:rFonts w:ascii="Bookman Old Style" w:eastAsia="Bookman Old Style" w:hAnsi="Bookman Old Style" w:cs="Bookman Old Style"/>
          <w:color w:val="000000" w:themeColor="text1"/>
          <w:sz w:val="22"/>
          <w:szCs w:val="22"/>
          <w:lang w:val="id-ID"/>
        </w:rPr>
        <w:t xml:space="preserve"> dan </w:t>
      </w:r>
      <w:r w:rsidRPr="007F541B">
        <w:rPr>
          <w:rFonts w:ascii="Bookman Old Style" w:eastAsia="Bookman Old Style" w:hAnsi="Bookman Old Style" w:cs="Bookman Old Style"/>
          <w:i/>
          <w:color w:val="000000" w:themeColor="text1"/>
          <w:sz w:val="22"/>
          <w:szCs w:val="22"/>
          <w:lang w:val="id-ID"/>
        </w:rPr>
        <w:t>artificial intelligence</w:t>
      </w:r>
      <w:r w:rsidRPr="007F541B">
        <w:rPr>
          <w:rFonts w:ascii="Bookman Old Style" w:eastAsia="Bookman Old Style" w:hAnsi="Bookman Old Style" w:cs="Bookman Old Style"/>
          <w:color w:val="000000" w:themeColor="text1"/>
          <w:sz w:val="22"/>
          <w:szCs w:val="22"/>
          <w:lang w:val="id-ID"/>
        </w:rPr>
        <w:t>.</w:t>
      </w:r>
    </w:p>
    <w:p w14:paraId="5D4023DD" w14:textId="4A5BAC83" w:rsidR="00FB6BC7" w:rsidRPr="00D6168E" w:rsidRDefault="00DA4194" w:rsidP="00D6168E">
      <w:pPr>
        <w:pStyle w:val="ListParagraph"/>
        <w:numPr>
          <w:ilvl w:val="6"/>
          <w:numId w:val="7"/>
        </w:numPr>
        <w:tabs>
          <w:tab w:val="clear" w:pos="5040"/>
          <w:tab w:val="num" w:pos="4680"/>
        </w:tabs>
        <w:spacing w:after="60" w:line="276" w:lineRule="auto"/>
        <w:ind w:left="709" w:hanging="284"/>
        <w:contextualSpacing w:val="0"/>
        <w:jc w:val="both"/>
        <w:rPr>
          <w:rFonts w:ascii="Bookman Old Style" w:eastAsia="Bookman Old Style" w:hAnsi="Bookman Old Style" w:cs="Bookman Old Style"/>
          <w:color w:val="000000" w:themeColor="text1"/>
          <w:sz w:val="22"/>
          <w:szCs w:val="22"/>
          <w:lang w:val="id-ID"/>
        </w:rPr>
      </w:pPr>
      <w:r w:rsidRPr="00D6168E">
        <w:rPr>
          <w:rFonts w:ascii="Bookman Old Style" w:eastAsia="Bookman Old Style" w:hAnsi="Bookman Old Style" w:cs="Bookman Old Style"/>
          <w:color w:val="000000" w:themeColor="text1"/>
          <w:sz w:val="22"/>
          <w:szCs w:val="22"/>
          <w:lang w:val="id-ID"/>
        </w:rPr>
        <w:t xml:space="preserve">OJK menekankan pentingnya fungsi GRC sebagai mitra strategis organisasi dalam mewujudkan pengawasan </w:t>
      </w:r>
      <w:r w:rsidR="0019105F">
        <w:rPr>
          <w:rFonts w:ascii="Bookman Old Style" w:eastAsia="Bookman Old Style" w:hAnsi="Bookman Old Style" w:cs="Bookman Old Style"/>
          <w:color w:val="000000" w:themeColor="text1"/>
          <w:sz w:val="22"/>
          <w:szCs w:val="22"/>
          <w:lang w:val="id-ID"/>
        </w:rPr>
        <w:t>SJK</w:t>
      </w:r>
      <w:r w:rsidRPr="00D6168E">
        <w:rPr>
          <w:rFonts w:ascii="Bookman Old Style" w:eastAsia="Bookman Old Style" w:hAnsi="Bookman Old Style" w:cs="Bookman Old Style"/>
          <w:color w:val="000000" w:themeColor="text1"/>
          <w:sz w:val="22"/>
          <w:szCs w:val="22"/>
          <w:lang w:val="id-ID"/>
        </w:rPr>
        <w:t xml:space="preserve"> yang terintegrasi dalam salah satu </w:t>
      </w:r>
      <w:r w:rsidRPr="00D6168E">
        <w:rPr>
          <w:rFonts w:ascii="Bookman Old Style" w:eastAsia="Bookman Old Style" w:hAnsi="Bookman Old Style" w:cs="Bookman Old Style"/>
          <w:i/>
          <w:color w:val="000000" w:themeColor="text1"/>
          <w:sz w:val="22"/>
          <w:szCs w:val="22"/>
          <w:lang w:val="id-ID"/>
        </w:rPr>
        <w:t>concurrent session</w:t>
      </w:r>
      <w:r w:rsidRPr="00D6168E">
        <w:rPr>
          <w:rFonts w:ascii="Bookman Old Style" w:eastAsia="Bookman Old Style" w:hAnsi="Bookman Old Style" w:cs="Bookman Old Style"/>
          <w:color w:val="000000" w:themeColor="text1"/>
          <w:sz w:val="22"/>
          <w:szCs w:val="22"/>
          <w:lang w:val="id-ID"/>
        </w:rPr>
        <w:t xml:space="preserve"> forum </w:t>
      </w:r>
      <w:r w:rsidRPr="00D6168E">
        <w:rPr>
          <w:rFonts w:ascii="Bookman Old Style" w:eastAsia="Bookman Old Style" w:hAnsi="Bookman Old Style" w:cs="Bookman Old Style"/>
          <w:i/>
          <w:color w:val="000000" w:themeColor="text1"/>
          <w:sz w:val="22"/>
          <w:szCs w:val="22"/>
          <w:lang w:val="id-ID"/>
        </w:rPr>
        <w:t>The Institute of Internal Auditors</w:t>
      </w:r>
      <w:r w:rsidRPr="00D6168E">
        <w:rPr>
          <w:rFonts w:ascii="Bookman Old Style" w:eastAsia="Bookman Old Style" w:hAnsi="Bookman Old Style" w:cs="Bookman Old Style"/>
          <w:color w:val="000000" w:themeColor="text1"/>
          <w:sz w:val="22"/>
          <w:szCs w:val="22"/>
          <w:lang w:val="id-ID"/>
        </w:rPr>
        <w:t xml:space="preserve"> (The IIA) </w:t>
      </w:r>
      <w:r w:rsidRPr="00D6168E">
        <w:rPr>
          <w:rFonts w:ascii="Bookman Old Style" w:eastAsia="Bookman Old Style" w:hAnsi="Bookman Old Style" w:cs="Bookman Old Style"/>
          <w:i/>
          <w:color w:val="000000" w:themeColor="text1"/>
          <w:sz w:val="22"/>
          <w:szCs w:val="22"/>
          <w:lang w:val="id-ID"/>
        </w:rPr>
        <w:t>International Conference</w:t>
      </w:r>
      <w:r w:rsidRPr="00D6168E">
        <w:rPr>
          <w:rFonts w:ascii="Bookman Old Style" w:eastAsia="Bookman Old Style" w:hAnsi="Bookman Old Style" w:cs="Bookman Old Style"/>
          <w:color w:val="000000" w:themeColor="text1"/>
          <w:sz w:val="22"/>
          <w:szCs w:val="22"/>
          <w:lang w:val="id-ID"/>
        </w:rPr>
        <w:t xml:space="preserve"> 2025 yang secara keseluruhan dihadiri sekitar 2.300 praktisi dari kurang lebih 150 negara. Peran fungsi GRC dijabarkan ke dalam tiga dimensi utama, yaitu </w:t>
      </w:r>
      <w:r w:rsidRPr="00D6168E">
        <w:rPr>
          <w:rFonts w:ascii="Bookman Old Style" w:eastAsia="Bookman Old Style" w:hAnsi="Bookman Old Style" w:cs="Bookman Old Style"/>
          <w:i/>
          <w:color w:val="000000" w:themeColor="text1"/>
          <w:sz w:val="22"/>
          <w:szCs w:val="22"/>
          <w:lang w:val="id-ID"/>
        </w:rPr>
        <w:t xml:space="preserve">insight, foresight, </w:t>
      </w:r>
      <w:r w:rsidRPr="00D6168E">
        <w:rPr>
          <w:rFonts w:ascii="Bookman Old Style" w:eastAsia="Bookman Old Style" w:hAnsi="Bookman Old Style" w:cs="Bookman Old Style"/>
          <w:color w:val="000000" w:themeColor="text1"/>
          <w:sz w:val="22"/>
          <w:szCs w:val="22"/>
          <w:lang w:val="id-ID"/>
        </w:rPr>
        <w:t xml:space="preserve">dan </w:t>
      </w:r>
      <w:r w:rsidRPr="00D6168E">
        <w:rPr>
          <w:rFonts w:ascii="Bookman Old Style" w:eastAsia="Bookman Old Style" w:hAnsi="Bookman Old Style" w:cs="Bookman Old Style"/>
          <w:i/>
          <w:color w:val="000000" w:themeColor="text1"/>
          <w:sz w:val="22"/>
          <w:szCs w:val="22"/>
          <w:lang w:val="id-ID"/>
        </w:rPr>
        <w:t xml:space="preserve">oversight. </w:t>
      </w:r>
      <w:r w:rsidRPr="00D6168E">
        <w:rPr>
          <w:rFonts w:ascii="Bookman Old Style" w:eastAsia="Bookman Old Style" w:hAnsi="Bookman Old Style" w:cs="Bookman Old Style"/>
          <w:color w:val="000000" w:themeColor="text1"/>
          <w:sz w:val="22"/>
          <w:szCs w:val="22"/>
          <w:lang w:val="id-ID"/>
        </w:rPr>
        <w:t xml:space="preserve">Peran </w:t>
      </w:r>
      <w:r w:rsidRPr="00D6168E">
        <w:rPr>
          <w:rFonts w:ascii="Bookman Old Style" w:eastAsia="Bookman Old Style" w:hAnsi="Bookman Old Style" w:cs="Bookman Old Style"/>
          <w:i/>
          <w:color w:val="000000" w:themeColor="text1"/>
          <w:sz w:val="22"/>
          <w:szCs w:val="22"/>
          <w:lang w:val="id-ID"/>
        </w:rPr>
        <w:t xml:space="preserve">insight </w:t>
      </w:r>
      <w:r w:rsidRPr="00D6168E">
        <w:rPr>
          <w:rFonts w:ascii="Bookman Old Style" w:eastAsia="Bookman Old Style" w:hAnsi="Bookman Old Style" w:cs="Bookman Old Style"/>
          <w:color w:val="000000" w:themeColor="text1"/>
          <w:sz w:val="22"/>
          <w:szCs w:val="22"/>
          <w:lang w:val="id-ID"/>
        </w:rPr>
        <w:t xml:space="preserve">diwujudkan dalam bentuk pemberian masukan strategis; </w:t>
      </w:r>
      <w:r w:rsidRPr="00D6168E">
        <w:rPr>
          <w:rFonts w:ascii="Bookman Old Style" w:eastAsia="Bookman Old Style" w:hAnsi="Bookman Old Style" w:cs="Bookman Old Style"/>
          <w:i/>
          <w:color w:val="000000" w:themeColor="text1"/>
          <w:sz w:val="22"/>
          <w:szCs w:val="22"/>
          <w:lang w:val="id-ID"/>
        </w:rPr>
        <w:t xml:space="preserve">foresight </w:t>
      </w:r>
      <w:r w:rsidRPr="00D6168E">
        <w:rPr>
          <w:rFonts w:ascii="Bookman Old Style" w:eastAsia="Bookman Old Style" w:hAnsi="Bookman Old Style" w:cs="Bookman Old Style"/>
          <w:color w:val="000000" w:themeColor="text1"/>
          <w:sz w:val="22"/>
          <w:szCs w:val="22"/>
          <w:lang w:val="id-ID"/>
        </w:rPr>
        <w:t xml:space="preserve">melalui </w:t>
      </w:r>
      <w:r w:rsidRPr="0091270C">
        <w:rPr>
          <w:rFonts w:ascii="Bookman Old Style" w:eastAsia="Bookman Old Style" w:hAnsi="Bookman Old Style" w:cs="Bookman Old Style"/>
          <w:i/>
          <w:iCs/>
          <w:color w:val="000000" w:themeColor="text1"/>
          <w:sz w:val="22"/>
          <w:szCs w:val="22"/>
          <w:lang w:val="id-ID"/>
        </w:rPr>
        <w:t>monitoring</w:t>
      </w:r>
      <w:r w:rsidRPr="00D6168E">
        <w:rPr>
          <w:rFonts w:ascii="Bookman Old Style" w:eastAsia="Bookman Old Style" w:hAnsi="Bookman Old Style" w:cs="Bookman Old Style"/>
          <w:color w:val="000000" w:themeColor="text1"/>
          <w:sz w:val="22"/>
          <w:szCs w:val="22"/>
          <w:lang w:val="id-ID"/>
        </w:rPr>
        <w:t xml:space="preserve"> Indikator Risiko Utama; dan </w:t>
      </w:r>
      <w:r w:rsidRPr="00D6168E">
        <w:rPr>
          <w:rFonts w:ascii="Bookman Old Style" w:eastAsia="Bookman Old Style" w:hAnsi="Bookman Old Style" w:cs="Bookman Old Style"/>
          <w:i/>
          <w:color w:val="000000" w:themeColor="text1"/>
          <w:sz w:val="22"/>
          <w:szCs w:val="22"/>
          <w:lang w:val="id-ID"/>
        </w:rPr>
        <w:t xml:space="preserve">oversight </w:t>
      </w:r>
      <w:r w:rsidRPr="00D6168E">
        <w:rPr>
          <w:rFonts w:ascii="Bookman Old Style" w:eastAsia="Bookman Old Style" w:hAnsi="Bookman Old Style" w:cs="Bookman Old Style"/>
          <w:color w:val="000000" w:themeColor="text1"/>
          <w:sz w:val="22"/>
          <w:szCs w:val="22"/>
          <w:lang w:val="id-ID"/>
        </w:rPr>
        <w:t xml:space="preserve">melalui </w:t>
      </w:r>
      <w:r w:rsidRPr="00D6168E">
        <w:rPr>
          <w:rFonts w:ascii="Bookman Old Style" w:eastAsia="Bookman Old Style" w:hAnsi="Bookman Old Style" w:cs="Bookman Old Style"/>
          <w:i/>
          <w:color w:val="000000" w:themeColor="text1"/>
          <w:sz w:val="22"/>
          <w:szCs w:val="22"/>
          <w:lang w:val="id-ID"/>
        </w:rPr>
        <w:t xml:space="preserve">rootcause analysis </w:t>
      </w:r>
      <w:r w:rsidRPr="00D6168E">
        <w:rPr>
          <w:rFonts w:ascii="Bookman Old Style" w:eastAsia="Bookman Old Style" w:hAnsi="Bookman Old Style" w:cs="Bookman Old Style"/>
          <w:color w:val="000000" w:themeColor="text1"/>
          <w:sz w:val="22"/>
          <w:szCs w:val="22"/>
          <w:lang w:val="id-ID"/>
        </w:rPr>
        <w:t xml:space="preserve">yang melibatkan seluruh area yang relevan untuk memastikan </w:t>
      </w:r>
      <w:r w:rsidRPr="00D6168E">
        <w:rPr>
          <w:rFonts w:ascii="Bookman Old Style" w:eastAsia="Bookman Old Style" w:hAnsi="Bookman Old Style" w:cs="Bookman Old Style"/>
          <w:i/>
          <w:color w:val="000000" w:themeColor="text1"/>
          <w:sz w:val="22"/>
          <w:szCs w:val="22"/>
          <w:lang w:val="id-ID"/>
        </w:rPr>
        <w:t>improvement</w:t>
      </w:r>
      <w:r w:rsidRPr="00D6168E">
        <w:rPr>
          <w:rFonts w:ascii="Bookman Old Style" w:eastAsia="Bookman Old Style" w:hAnsi="Bookman Old Style" w:cs="Bookman Old Style"/>
          <w:color w:val="000000" w:themeColor="text1"/>
          <w:sz w:val="22"/>
          <w:szCs w:val="22"/>
          <w:lang w:val="id-ID"/>
        </w:rPr>
        <w:t xml:space="preserve"> yang komprehensif dan berkelanjutan.</w:t>
      </w:r>
    </w:p>
    <w:p w14:paraId="7890A7C5" w14:textId="06DA15CE" w:rsidR="00BE6ABA" w:rsidRPr="00D6168E" w:rsidRDefault="009414C2" w:rsidP="00D6168E">
      <w:pPr>
        <w:pStyle w:val="ListParagraph"/>
        <w:numPr>
          <w:ilvl w:val="6"/>
          <w:numId w:val="7"/>
        </w:numPr>
        <w:tabs>
          <w:tab w:val="clear" w:pos="5040"/>
          <w:tab w:val="num" w:pos="4680"/>
        </w:tabs>
        <w:spacing w:after="60" w:line="276" w:lineRule="auto"/>
        <w:ind w:left="709" w:hanging="284"/>
        <w:contextualSpacing w:val="0"/>
        <w:jc w:val="both"/>
        <w:rPr>
          <w:rFonts w:ascii="Bookman Old Style" w:hAnsi="Bookman Old Style"/>
          <w:color w:val="000000" w:themeColor="text1"/>
          <w:sz w:val="22"/>
          <w:szCs w:val="22"/>
          <w:u w:val="single"/>
          <w:lang w:val="id-ID"/>
        </w:rPr>
      </w:pPr>
      <w:r w:rsidRPr="00D6168E">
        <w:rPr>
          <w:rFonts w:ascii="Bookman Old Style" w:eastAsia="Bookman Old Style" w:hAnsi="Bookman Old Style" w:cs="Bookman Old Style"/>
          <w:color w:val="000000" w:themeColor="text1"/>
          <w:sz w:val="22"/>
          <w:szCs w:val="22"/>
          <w:lang w:val="id-ID"/>
        </w:rPr>
        <w:lastRenderedPageBreak/>
        <w:t xml:space="preserve">OJK terus memperkuat tata kelola kelembagaan melalui kajian penerapan </w:t>
      </w:r>
      <w:r w:rsidRPr="00D6168E">
        <w:rPr>
          <w:rFonts w:ascii="Bookman Old Style" w:eastAsia="Bookman Old Style" w:hAnsi="Bookman Old Style" w:cs="Bookman Old Style"/>
          <w:i/>
          <w:color w:val="000000" w:themeColor="text1"/>
          <w:sz w:val="22"/>
          <w:szCs w:val="22"/>
          <w:lang w:val="id-ID"/>
        </w:rPr>
        <w:t xml:space="preserve">shared service </w:t>
      </w:r>
      <w:r w:rsidRPr="00D6168E">
        <w:rPr>
          <w:rFonts w:ascii="Bookman Old Style" w:eastAsia="Bookman Old Style" w:hAnsi="Bookman Old Style" w:cs="Bookman Old Style"/>
          <w:color w:val="000000" w:themeColor="text1"/>
          <w:sz w:val="22"/>
          <w:szCs w:val="22"/>
          <w:lang w:val="id-ID"/>
        </w:rPr>
        <w:t>secara menyeluruh</w:t>
      </w:r>
      <w:r w:rsidRPr="00D6168E">
        <w:rPr>
          <w:rFonts w:ascii="Bookman Old Style" w:eastAsia="Bookman Old Style" w:hAnsi="Bookman Old Style" w:cs="Bookman Old Style"/>
          <w:i/>
          <w:color w:val="000000" w:themeColor="text1"/>
          <w:sz w:val="22"/>
          <w:szCs w:val="22"/>
          <w:lang w:val="id-ID"/>
        </w:rPr>
        <w:t xml:space="preserve">. </w:t>
      </w:r>
      <w:r w:rsidRPr="00D6168E">
        <w:rPr>
          <w:rFonts w:ascii="Bookman Old Style" w:eastAsia="Bookman Old Style" w:hAnsi="Bookman Old Style" w:cs="Bookman Old Style"/>
          <w:color w:val="000000" w:themeColor="text1"/>
          <w:sz w:val="22"/>
          <w:szCs w:val="22"/>
          <w:lang w:val="id-ID"/>
        </w:rPr>
        <w:t>Saat ini, OJK tengah mempersiapkan peningkatan fitur dan integrasi sistem informasi manajemen internal serta penyempurnaan proses bisnis di bidang pengelolaan SDM, pengadaan barang dan jasa, serta proses penerimaan. Inisiatif ini merupakan bagian dari komitmen berkelanjutan OJK untuk memperkuat akuntabilitas dan kapasitas organisasi dalam menjalankan tugas dan fungsi OJK secara efektif dan efisien.</w:t>
      </w:r>
    </w:p>
    <w:p w14:paraId="3EC024EB" w14:textId="07F719EA" w:rsidR="00DB5475" w:rsidRPr="00D6168E" w:rsidRDefault="00DA4194" w:rsidP="00D6168E">
      <w:pPr>
        <w:pStyle w:val="ListParagraph"/>
        <w:numPr>
          <w:ilvl w:val="6"/>
          <w:numId w:val="7"/>
        </w:numPr>
        <w:tabs>
          <w:tab w:val="clear" w:pos="5040"/>
          <w:tab w:val="num" w:pos="4680"/>
        </w:tabs>
        <w:spacing w:after="60" w:line="276" w:lineRule="auto"/>
        <w:ind w:left="709" w:hanging="284"/>
        <w:contextualSpacing w:val="0"/>
        <w:jc w:val="both"/>
        <w:rPr>
          <w:rFonts w:ascii="Bookman Old Style" w:hAnsi="Bookman Old Style"/>
          <w:color w:val="000000" w:themeColor="text1"/>
          <w:sz w:val="22"/>
          <w:szCs w:val="22"/>
          <w:u w:val="single"/>
          <w:lang w:val="id-ID"/>
        </w:rPr>
      </w:pPr>
      <w:r w:rsidRPr="00D6168E">
        <w:rPr>
          <w:rFonts w:ascii="Bookman Old Style" w:eastAsia="Bookman Old Style" w:hAnsi="Bookman Old Style" w:cs="Bookman Old Style"/>
          <w:color w:val="000000" w:themeColor="text1"/>
          <w:sz w:val="22"/>
          <w:szCs w:val="22"/>
          <w:lang w:val="id-ID"/>
        </w:rPr>
        <w:t xml:space="preserve">OJK </w:t>
      </w:r>
      <w:r w:rsidR="009414C2" w:rsidRPr="00D6168E">
        <w:rPr>
          <w:rFonts w:ascii="Bookman Old Style" w:eastAsia="Bookman Old Style" w:hAnsi="Bookman Old Style" w:cs="Bookman Old Style"/>
          <w:color w:val="000000" w:themeColor="text1"/>
          <w:sz w:val="22"/>
          <w:szCs w:val="22"/>
          <w:lang w:val="id-ID"/>
        </w:rPr>
        <w:t>senantiasa</w:t>
      </w:r>
      <w:r w:rsidRPr="00D6168E">
        <w:rPr>
          <w:rFonts w:ascii="Bookman Old Style" w:eastAsia="Bookman Old Style" w:hAnsi="Bookman Old Style" w:cs="Bookman Old Style"/>
          <w:color w:val="000000" w:themeColor="text1"/>
          <w:sz w:val="22"/>
          <w:szCs w:val="22"/>
          <w:lang w:val="id-ID"/>
        </w:rPr>
        <w:t xml:space="preserve"> melakukan berbagai upaya berkelanjutan dalam memperkuat integritas organisasi dan </w:t>
      </w:r>
      <w:r w:rsidR="0019105F">
        <w:rPr>
          <w:rFonts w:ascii="Bookman Old Style" w:eastAsia="Bookman Old Style" w:hAnsi="Bookman Old Style" w:cs="Bookman Old Style"/>
          <w:color w:val="000000" w:themeColor="text1"/>
          <w:sz w:val="22"/>
          <w:szCs w:val="22"/>
          <w:lang w:val="id-ID"/>
        </w:rPr>
        <w:t>SJK</w:t>
      </w:r>
      <w:r w:rsidRPr="00D6168E">
        <w:rPr>
          <w:rFonts w:ascii="Bookman Old Style" w:eastAsia="Bookman Old Style" w:hAnsi="Bookman Old Style" w:cs="Bookman Old Style"/>
          <w:color w:val="000000" w:themeColor="text1"/>
          <w:sz w:val="22"/>
          <w:szCs w:val="22"/>
          <w:lang w:val="id-ID"/>
        </w:rPr>
        <w:t>, salah satunya melalui pelaksanaan serangkaian</w:t>
      </w:r>
      <w:r w:rsidR="00DB5475" w:rsidRPr="00D6168E">
        <w:rPr>
          <w:rFonts w:ascii="Bookman Old Style" w:eastAsia="Bookman Old Style" w:hAnsi="Bookman Old Style" w:cs="Bookman Old Style"/>
          <w:color w:val="000000" w:themeColor="text1"/>
          <w:sz w:val="22"/>
          <w:szCs w:val="22"/>
          <w:lang w:val="id-ID"/>
        </w:rPr>
        <w:t xml:space="preserve"> kegiatan governansi</w:t>
      </w:r>
      <w:r w:rsidRPr="00D6168E">
        <w:rPr>
          <w:rFonts w:ascii="Bookman Old Style" w:eastAsia="Bookman Old Style" w:hAnsi="Bookman Old Style" w:cs="Bookman Old Style"/>
          <w:color w:val="000000" w:themeColor="text1"/>
          <w:sz w:val="22"/>
          <w:szCs w:val="22"/>
          <w:lang w:val="id-ID"/>
        </w:rPr>
        <w:t xml:space="preserve">. Sejak Januari </w:t>
      </w:r>
      <w:r w:rsidR="0069477E">
        <w:rPr>
          <w:rFonts w:ascii="Bookman Old Style" w:eastAsia="Bookman Old Style" w:hAnsi="Bookman Old Style" w:cs="Bookman Old Style"/>
          <w:color w:val="000000" w:themeColor="text1"/>
          <w:sz w:val="22"/>
          <w:szCs w:val="22"/>
          <w:lang w:val="id-ID"/>
        </w:rPr>
        <w:t>sampai dengan</w:t>
      </w:r>
      <w:r w:rsidRPr="00D6168E">
        <w:rPr>
          <w:rFonts w:ascii="Bookman Old Style" w:eastAsia="Bookman Old Style" w:hAnsi="Bookman Old Style" w:cs="Bookman Old Style"/>
          <w:color w:val="000000" w:themeColor="text1"/>
          <w:sz w:val="22"/>
          <w:szCs w:val="22"/>
          <w:lang w:val="id-ID"/>
        </w:rPr>
        <w:t xml:space="preserve"> Juli 2025, kegiatan governansi</w:t>
      </w:r>
      <w:r w:rsidR="00DB5475" w:rsidRPr="00D6168E">
        <w:rPr>
          <w:rFonts w:ascii="Bookman Old Style" w:eastAsia="Bookman Old Style" w:hAnsi="Bookman Old Style" w:cs="Bookman Old Style"/>
          <w:color w:val="000000" w:themeColor="text1"/>
          <w:sz w:val="22"/>
          <w:szCs w:val="22"/>
          <w:lang w:val="id-ID"/>
        </w:rPr>
        <w:t xml:space="preserve"> telah menjangkau </w:t>
      </w:r>
      <w:r w:rsidR="000B332E" w:rsidRPr="000B332E">
        <w:rPr>
          <w:rFonts w:ascii="Bookman Old Style" w:eastAsia="Bookman Old Style" w:hAnsi="Bookman Old Style" w:cs="Bookman Old Style"/>
          <w:color w:val="000000" w:themeColor="text1"/>
          <w:sz w:val="22"/>
          <w:szCs w:val="22"/>
          <w:lang w:val="id-ID"/>
        </w:rPr>
        <w:t>38.051</w:t>
      </w:r>
      <w:r w:rsidR="000B332E">
        <w:rPr>
          <w:rFonts w:ascii="Bookman Old Style" w:eastAsia="Bookman Old Style" w:hAnsi="Bookman Old Style" w:cs="Bookman Old Style"/>
          <w:color w:val="000000" w:themeColor="text1"/>
          <w:sz w:val="22"/>
          <w:szCs w:val="22"/>
          <w:lang w:val="id-ID"/>
        </w:rPr>
        <w:t xml:space="preserve"> </w:t>
      </w:r>
      <w:r w:rsidR="00DB5475" w:rsidRPr="00D6168E">
        <w:rPr>
          <w:rFonts w:ascii="Bookman Old Style" w:eastAsia="Bookman Old Style" w:hAnsi="Bookman Old Style" w:cs="Bookman Old Style"/>
          <w:color w:val="000000" w:themeColor="text1"/>
          <w:sz w:val="22"/>
          <w:szCs w:val="22"/>
          <w:lang w:val="id-ID"/>
        </w:rPr>
        <w:t xml:space="preserve">peserta baik dari internal OJK maupun </w:t>
      </w:r>
      <w:r w:rsidRPr="00D6168E">
        <w:rPr>
          <w:rFonts w:ascii="Bookman Old Style" w:eastAsia="Bookman Old Style" w:hAnsi="Bookman Old Style" w:cs="Bookman Old Style"/>
          <w:i/>
          <w:color w:val="000000" w:themeColor="text1"/>
          <w:sz w:val="22"/>
          <w:szCs w:val="22"/>
          <w:lang w:val="id-ID"/>
        </w:rPr>
        <w:t>stakeholder</w:t>
      </w:r>
      <w:r w:rsidR="00DB5475" w:rsidRPr="00D6168E">
        <w:rPr>
          <w:rFonts w:ascii="Bookman Old Style" w:eastAsia="Bookman Old Style" w:hAnsi="Bookman Old Style" w:cs="Bookman Old Style"/>
          <w:i/>
          <w:color w:val="000000" w:themeColor="text1"/>
          <w:sz w:val="22"/>
          <w:szCs w:val="22"/>
          <w:lang w:val="id-ID"/>
        </w:rPr>
        <w:t xml:space="preserve"> </w:t>
      </w:r>
      <w:r w:rsidR="00DB5475" w:rsidRPr="00D6168E">
        <w:rPr>
          <w:rFonts w:ascii="Bookman Old Style" w:eastAsia="Bookman Old Style" w:hAnsi="Bookman Old Style" w:cs="Bookman Old Style"/>
          <w:color w:val="000000" w:themeColor="text1"/>
          <w:sz w:val="22"/>
          <w:szCs w:val="22"/>
          <w:lang w:val="id-ID"/>
        </w:rPr>
        <w:t>eksternal OJK.</w:t>
      </w:r>
    </w:p>
    <w:p w14:paraId="1AC34BCF" w14:textId="77777777" w:rsidR="00DB5475" w:rsidRPr="007F541B" w:rsidRDefault="00DB5475" w:rsidP="00D6168E">
      <w:pPr>
        <w:numPr>
          <w:ilvl w:val="0"/>
          <w:numId w:val="7"/>
        </w:numPr>
        <w:tabs>
          <w:tab w:val="clear" w:pos="720"/>
          <w:tab w:val="num" w:pos="426"/>
        </w:tabs>
        <w:spacing w:before="120" w:after="0" w:line="276" w:lineRule="auto"/>
        <w:ind w:left="425" w:hanging="425"/>
        <w:jc w:val="both"/>
        <w:rPr>
          <w:rFonts w:ascii="Bookman Old Style" w:hAnsi="Bookman Old Style"/>
          <w:sz w:val="22"/>
          <w:szCs w:val="22"/>
          <w:lang w:val="id-ID"/>
        </w:rPr>
      </w:pPr>
      <w:r w:rsidRPr="007F541B">
        <w:rPr>
          <w:rFonts w:ascii="Bookman Old Style" w:hAnsi="Bookman Old Style"/>
          <w:sz w:val="22"/>
          <w:szCs w:val="22"/>
          <w:u w:val="single"/>
          <w:lang w:val="id-ID"/>
        </w:rPr>
        <w:t>Penegakan Ketentuan di SJK dan Perkembangan Penyidikan</w:t>
      </w:r>
      <w:r w:rsidRPr="007F541B">
        <w:rPr>
          <w:rFonts w:ascii="Bookman Old Style" w:hAnsi="Bookman Old Style"/>
          <w:sz w:val="22"/>
          <w:szCs w:val="22"/>
          <w:lang w:val="id-ID"/>
        </w:rPr>
        <w:t> </w:t>
      </w:r>
    </w:p>
    <w:p w14:paraId="2AD12B87" w14:textId="16DEDC83" w:rsidR="00F868C3" w:rsidRPr="000E2171" w:rsidRDefault="004D4487" w:rsidP="00D6168E">
      <w:pPr>
        <w:pStyle w:val="ListParagraph"/>
        <w:numPr>
          <w:ilvl w:val="6"/>
          <w:numId w:val="7"/>
        </w:numPr>
        <w:tabs>
          <w:tab w:val="clear" w:pos="5040"/>
        </w:tabs>
        <w:spacing w:after="120" w:line="276" w:lineRule="auto"/>
        <w:ind w:left="709" w:hanging="284"/>
        <w:contextualSpacing w:val="0"/>
        <w:jc w:val="both"/>
        <w:rPr>
          <w:rFonts w:ascii="Bookman Old Style" w:eastAsia="Times New Roman" w:hAnsi="Bookman Old Style" w:cs="Times New Roman"/>
          <w:kern w:val="0"/>
          <w:lang w:val="id-ID" w:eastAsia="en-ID" w:bidi="ne-NP"/>
          <w14:ligatures w14:val="none"/>
        </w:rPr>
      </w:pPr>
      <w:r w:rsidRPr="007F541B">
        <w:rPr>
          <w:rFonts w:ascii="Bookman Old Style" w:hAnsi="Bookman Old Style"/>
          <w:sz w:val="22"/>
          <w:szCs w:val="22"/>
          <w:lang w:val="id-ID"/>
        </w:rPr>
        <w:t xml:space="preserve">OJK memperkuat upaya penegakan ketentuan di </w:t>
      </w:r>
      <w:r w:rsidR="0019105F">
        <w:rPr>
          <w:rFonts w:ascii="Bookman Old Style" w:hAnsi="Bookman Old Style"/>
          <w:sz w:val="22"/>
          <w:szCs w:val="22"/>
          <w:lang w:val="id-ID"/>
        </w:rPr>
        <w:t>SJK</w:t>
      </w:r>
      <w:r w:rsidRPr="007F541B">
        <w:rPr>
          <w:rFonts w:ascii="Bookman Old Style" w:hAnsi="Bookman Old Style"/>
          <w:sz w:val="22"/>
          <w:szCs w:val="22"/>
          <w:lang w:val="id-ID"/>
        </w:rPr>
        <w:br/>
        <w:t>dengan menetapkan sanksi administratif dan/atau Perintah Tertulis</w:t>
      </w:r>
      <w:r w:rsidRPr="007F541B">
        <w:rPr>
          <w:rFonts w:ascii="Bookman Old Style" w:hAnsi="Bookman Old Style"/>
          <w:sz w:val="22"/>
          <w:szCs w:val="22"/>
          <w:lang w:val="id-ID"/>
        </w:rPr>
        <w:br/>
        <w:t xml:space="preserve">terhadap pelaku pelanggaran peraturan perundang-undangan. Per Juni 2025, OJK telah menetapkan setidaknya </w:t>
      </w:r>
      <w:r w:rsidR="00C20979" w:rsidRPr="007F541B">
        <w:rPr>
          <w:rFonts w:ascii="Bookman Old Style" w:hAnsi="Bookman Old Style"/>
          <w:sz w:val="22"/>
          <w:szCs w:val="22"/>
          <w:lang w:val="id-ID"/>
        </w:rPr>
        <w:t>1</w:t>
      </w:r>
      <w:r w:rsidRPr="007F541B">
        <w:rPr>
          <w:rFonts w:ascii="Bookman Old Style" w:hAnsi="Bookman Old Style"/>
          <w:sz w:val="22"/>
          <w:szCs w:val="22"/>
          <w:lang w:val="id-ID"/>
        </w:rPr>
        <w:t>.</w:t>
      </w:r>
      <w:r w:rsidR="004D4512">
        <w:rPr>
          <w:rFonts w:ascii="Bookman Old Style" w:hAnsi="Bookman Old Style"/>
          <w:sz w:val="22"/>
          <w:szCs w:val="22"/>
          <w:lang w:val="id-ID"/>
        </w:rPr>
        <w:t>793</w:t>
      </w:r>
      <w:r w:rsidR="001D29BE">
        <w:rPr>
          <w:rFonts w:ascii="Bookman Old Style" w:hAnsi="Bookman Old Style"/>
          <w:sz w:val="22"/>
          <w:szCs w:val="22"/>
          <w:lang w:val="id-ID"/>
        </w:rPr>
        <w:t xml:space="preserve"> </w:t>
      </w:r>
      <w:r w:rsidRPr="007F541B">
        <w:rPr>
          <w:rFonts w:ascii="Bookman Old Style" w:hAnsi="Bookman Old Style"/>
          <w:sz w:val="22"/>
          <w:szCs w:val="22"/>
          <w:lang w:val="id-ID"/>
        </w:rPr>
        <w:t xml:space="preserve">sanksi administratif terhadap pelaku pelanggaran peraturan perundang-undangan di </w:t>
      </w:r>
      <w:r w:rsidR="0019105F">
        <w:rPr>
          <w:rFonts w:ascii="Bookman Old Style" w:hAnsi="Bookman Old Style"/>
          <w:sz w:val="22"/>
          <w:szCs w:val="22"/>
          <w:lang w:val="id-ID"/>
        </w:rPr>
        <w:t>SJK</w:t>
      </w:r>
      <w:r w:rsidRPr="007F541B">
        <w:rPr>
          <w:rFonts w:ascii="Bookman Old Style" w:hAnsi="Bookman Old Style"/>
          <w:sz w:val="22"/>
          <w:szCs w:val="22"/>
          <w:lang w:val="id-ID"/>
        </w:rPr>
        <w:t xml:space="preserve"> (</w:t>
      </w:r>
      <w:r w:rsidR="00C20979" w:rsidRPr="007F541B">
        <w:rPr>
          <w:rFonts w:ascii="Bookman Old Style" w:hAnsi="Bookman Old Style"/>
          <w:sz w:val="22"/>
          <w:szCs w:val="22"/>
          <w:lang w:val="id-ID"/>
        </w:rPr>
        <w:t>Juni 2024</w:t>
      </w:r>
      <w:r w:rsidRPr="007F541B">
        <w:rPr>
          <w:rFonts w:ascii="Bookman Old Style" w:hAnsi="Bookman Old Style"/>
          <w:sz w:val="22"/>
          <w:szCs w:val="22"/>
          <w:lang w:val="id-ID"/>
        </w:rPr>
        <w:t xml:space="preserve">: </w:t>
      </w:r>
      <w:r w:rsidR="002C674D" w:rsidRPr="00584316">
        <w:rPr>
          <w:rFonts w:ascii="Bookman Old Style" w:hAnsi="Bookman Old Style"/>
          <w:sz w:val="22"/>
          <w:szCs w:val="22"/>
          <w:lang w:val="id-ID"/>
        </w:rPr>
        <w:t>3.</w:t>
      </w:r>
      <w:r w:rsidR="00AD31AB">
        <w:rPr>
          <w:rFonts w:ascii="Bookman Old Style" w:hAnsi="Bookman Old Style"/>
          <w:sz w:val="22"/>
          <w:szCs w:val="22"/>
          <w:lang w:val="id-ID"/>
        </w:rPr>
        <w:t>020</w:t>
      </w:r>
      <w:r w:rsidRPr="007F541B">
        <w:rPr>
          <w:rFonts w:ascii="Bookman Old Style" w:hAnsi="Bookman Old Style"/>
          <w:sz w:val="22"/>
          <w:szCs w:val="22"/>
          <w:lang w:val="id-ID"/>
        </w:rPr>
        <w:t xml:space="preserve"> sanksi administratif). Diharapkan langkah penegakan ketentuan yang dilakukan akan meningkatkan kepercayaan masyarakat dan integritas </w:t>
      </w:r>
      <w:r w:rsidR="0019105F">
        <w:rPr>
          <w:rFonts w:ascii="Bookman Old Style" w:hAnsi="Bookman Old Style"/>
          <w:sz w:val="22"/>
          <w:szCs w:val="22"/>
          <w:lang w:val="id-ID"/>
        </w:rPr>
        <w:t>SJK</w:t>
      </w:r>
      <w:r w:rsidRPr="007F541B">
        <w:rPr>
          <w:rFonts w:ascii="Bookman Old Style" w:hAnsi="Bookman Old Style"/>
          <w:sz w:val="22"/>
          <w:szCs w:val="22"/>
          <w:lang w:val="id-ID"/>
        </w:rPr>
        <w:t xml:space="preserve"> secara berkelanjuta</w:t>
      </w:r>
      <w:r w:rsidR="00C20979" w:rsidRPr="007F541B">
        <w:rPr>
          <w:rFonts w:ascii="Bookman Old Style" w:hAnsi="Bookman Old Style"/>
          <w:sz w:val="22"/>
          <w:szCs w:val="22"/>
          <w:lang w:val="id-ID"/>
        </w:rPr>
        <w:t>n.</w:t>
      </w:r>
    </w:p>
    <w:p w14:paraId="3E63988A" w14:textId="0EEB33F5" w:rsidR="00F868C3" w:rsidRPr="00970611" w:rsidDel="00B93489" w:rsidRDefault="009714D9">
      <w:pPr>
        <w:pStyle w:val="ListParagraph"/>
        <w:ind w:left="0"/>
        <w:rPr>
          <w:rFonts w:ascii="Bookman Old Style" w:hAnsi="Bookman Old Style"/>
          <w:sz w:val="22"/>
          <w:szCs w:val="22"/>
          <w:lang w:val="id-ID"/>
        </w:rPr>
      </w:pPr>
      <w:r w:rsidRPr="009714D9">
        <w:rPr>
          <w:noProof/>
        </w:rPr>
        <w:drawing>
          <wp:inline distT="0" distB="0" distL="0" distR="0" wp14:anchorId="51DFFB16" wp14:editId="77048B43">
            <wp:extent cx="5731510" cy="1278890"/>
            <wp:effectExtent l="0" t="0" r="2540" b="0"/>
            <wp:docPr id="50094728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1510" cy="1278890"/>
                    </a:xfrm>
                    <a:prstGeom prst="rect">
                      <a:avLst/>
                    </a:prstGeom>
                    <a:noFill/>
                    <a:ln>
                      <a:noFill/>
                    </a:ln>
                  </pic:spPr>
                </pic:pic>
              </a:graphicData>
            </a:graphic>
          </wp:inline>
        </w:drawing>
      </w:r>
    </w:p>
    <w:p w14:paraId="513FF62D" w14:textId="106BCCEF" w:rsidR="00DB5475" w:rsidRPr="007F541B" w:rsidRDefault="00DB5475" w:rsidP="00D6168E">
      <w:pPr>
        <w:pStyle w:val="ListParagraph"/>
        <w:spacing w:after="0"/>
        <w:ind w:left="0"/>
        <w:contextualSpacing w:val="0"/>
        <w:rPr>
          <w:rFonts w:ascii="Bookman Old Style" w:hAnsi="Bookman Old Style"/>
          <w:highlight w:val="yellow"/>
          <w:lang w:val="id-ID"/>
        </w:rPr>
      </w:pPr>
    </w:p>
    <w:p w14:paraId="07C7BDDF" w14:textId="4E642E18" w:rsidR="00B93489" w:rsidRPr="000E2171" w:rsidRDefault="00B93489" w:rsidP="00D6168E">
      <w:pPr>
        <w:pStyle w:val="ListParagraph"/>
        <w:numPr>
          <w:ilvl w:val="6"/>
          <w:numId w:val="7"/>
        </w:numPr>
        <w:tabs>
          <w:tab w:val="clear" w:pos="5040"/>
        </w:tabs>
        <w:spacing w:after="120" w:line="276" w:lineRule="auto"/>
        <w:ind w:left="709" w:hanging="284"/>
        <w:contextualSpacing w:val="0"/>
        <w:jc w:val="both"/>
        <w:rPr>
          <w:rFonts w:ascii="Bookman Old Style" w:hAnsi="Bookman Old Style"/>
          <w:sz w:val="22"/>
          <w:szCs w:val="22"/>
          <w:lang w:val="id-ID"/>
        </w:rPr>
      </w:pPr>
      <w:r w:rsidRPr="000E2171">
        <w:rPr>
          <w:rFonts w:ascii="Bookman Old Style" w:hAnsi="Bookman Old Style"/>
          <w:sz w:val="22"/>
          <w:szCs w:val="22"/>
          <w:lang w:val="id-ID"/>
        </w:rPr>
        <w:t xml:space="preserve">Dalam pelaksanaan fungsi penyidikan, sampai dengan 31 Juli 2025, Penyidik OJK telah menyelesaikan total 156 perkara yang terdiri dari 130 perkara PBKN, 5 perkara PMDK, 20 perkara PPDP dan 1 perkara PVML. Selanjutnya jumlah perkara yang telah diputus pengadilan sebanyak </w:t>
      </w:r>
      <w:r w:rsidRPr="00D6168E">
        <w:rPr>
          <w:rFonts w:ascii="Bookman Old Style" w:hAnsi="Bookman Old Style"/>
          <w:sz w:val="22"/>
          <w:szCs w:val="22"/>
          <w:lang w:val="id-ID"/>
        </w:rPr>
        <w:t>129</w:t>
      </w:r>
      <w:r w:rsidRPr="000E2171">
        <w:rPr>
          <w:rFonts w:ascii="Bookman Old Style" w:hAnsi="Bookman Old Style"/>
          <w:sz w:val="22"/>
          <w:szCs w:val="22"/>
          <w:lang w:val="id-ID"/>
        </w:rPr>
        <w:t xml:space="preserve"> perkara di</w:t>
      </w:r>
      <w:r w:rsidR="00FC4AFC">
        <w:rPr>
          <w:rFonts w:ascii="Bookman Old Style" w:hAnsi="Bookman Old Style"/>
          <w:sz w:val="22"/>
          <w:szCs w:val="22"/>
          <w:lang w:val="id-ID"/>
        </w:rPr>
        <w:t xml:space="preserve"> </w:t>
      </w:r>
      <w:r w:rsidRPr="000E2171">
        <w:rPr>
          <w:rFonts w:ascii="Bookman Old Style" w:hAnsi="Bookman Old Style"/>
          <w:sz w:val="22"/>
          <w:szCs w:val="22"/>
          <w:lang w:val="id-ID"/>
        </w:rPr>
        <w:t>antaranya 120 perkara telah mempunyai ketetapan hukum tetap (</w:t>
      </w:r>
      <w:r w:rsidRPr="000E2171">
        <w:rPr>
          <w:rFonts w:ascii="Bookman Old Style" w:hAnsi="Bookman Old Style"/>
          <w:i/>
          <w:iCs/>
          <w:sz w:val="22"/>
          <w:szCs w:val="22"/>
          <w:lang w:val="id-ID"/>
        </w:rPr>
        <w:t>in kracht</w:t>
      </w:r>
      <w:r w:rsidRPr="000E2171">
        <w:rPr>
          <w:rFonts w:ascii="Bookman Old Style" w:hAnsi="Bookman Old Style"/>
          <w:sz w:val="22"/>
          <w:szCs w:val="22"/>
          <w:lang w:val="id-ID"/>
        </w:rPr>
        <w:t>) dan 9 perkara masih dalam tahap kasasi.</w:t>
      </w:r>
    </w:p>
    <w:tbl>
      <w:tblPr>
        <w:tblW w:w="9435" w:type="dxa"/>
        <w:tblLayout w:type="fixed"/>
        <w:tblCellMar>
          <w:left w:w="0" w:type="dxa"/>
          <w:right w:w="0" w:type="dxa"/>
        </w:tblCellMar>
        <w:tblLook w:val="04A0" w:firstRow="1" w:lastRow="0" w:firstColumn="1" w:lastColumn="0" w:noHBand="0" w:noVBand="1"/>
      </w:tblPr>
      <w:tblGrid>
        <w:gridCol w:w="585"/>
        <w:gridCol w:w="3563"/>
        <w:gridCol w:w="1040"/>
        <w:gridCol w:w="1039"/>
        <w:gridCol w:w="1187"/>
        <w:gridCol w:w="890"/>
        <w:gridCol w:w="1131"/>
      </w:tblGrid>
      <w:tr w:rsidR="00B93489" w:rsidRPr="00B56577" w14:paraId="3A39CF82" w14:textId="77777777" w:rsidTr="00D6168E">
        <w:trPr>
          <w:trHeight w:val="259"/>
        </w:trPr>
        <w:tc>
          <w:tcPr>
            <w:tcW w:w="585" w:type="dxa"/>
            <w:tcBorders>
              <w:top w:val="single" w:sz="6" w:space="0" w:color="000000"/>
              <w:left w:val="single" w:sz="6" w:space="0" w:color="000000"/>
              <w:bottom w:val="single" w:sz="6" w:space="0" w:color="000000"/>
              <w:right w:val="single" w:sz="6" w:space="0" w:color="000000"/>
            </w:tcBorders>
            <w:shd w:val="clear" w:color="auto" w:fill="C00000"/>
            <w:tcMar>
              <w:top w:w="0" w:type="dxa"/>
              <w:left w:w="45" w:type="dxa"/>
              <w:bottom w:w="0" w:type="dxa"/>
              <w:right w:w="45" w:type="dxa"/>
            </w:tcMar>
            <w:vAlign w:val="center"/>
            <w:hideMark/>
          </w:tcPr>
          <w:p w14:paraId="14CBCA90" w14:textId="77777777" w:rsidR="00B93489" w:rsidRPr="00D6168E" w:rsidRDefault="00B93489" w:rsidP="00584316">
            <w:pPr>
              <w:spacing w:after="0" w:line="240" w:lineRule="auto"/>
              <w:jc w:val="center"/>
              <w:rPr>
                <w:rFonts w:ascii="Bookman Old Style" w:eastAsia="Times New Roman" w:hAnsi="Bookman Old Style" w:cs="Arial"/>
                <w:b/>
                <w:sz w:val="18"/>
                <w:szCs w:val="18"/>
                <w:lang w:eastAsia="en-ID"/>
              </w:rPr>
            </w:pPr>
            <w:r w:rsidRPr="00D6168E">
              <w:rPr>
                <w:rFonts w:ascii="Bookman Old Style" w:eastAsia="Times New Roman" w:hAnsi="Bookman Old Style" w:cs="Arial"/>
                <w:b/>
                <w:sz w:val="18"/>
                <w:szCs w:val="18"/>
                <w:lang w:eastAsia="en-ID"/>
              </w:rPr>
              <w:t>No</w:t>
            </w:r>
          </w:p>
        </w:tc>
        <w:tc>
          <w:tcPr>
            <w:tcW w:w="3563" w:type="dxa"/>
            <w:tcBorders>
              <w:top w:val="single" w:sz="6" w:space="0" w:color="000000"/>
              <w:left w:val="single" w:sz="6" w:space="0" w:color="CCCCCC"/>
              <w:bottom w:val="single" w:sz="6" w:space="0" w:color="000000"/>
              <w:right w:val="single" w:sz="6" w:space="0" w:color="000000"/>
            </w:tcBorders>
            <w:shd w:val="clear" w:color="auto" w:fill="C00000"/>
            <w:tcMar>
              <w:top w:w="0" w:type="dxa"/>
              <w:left w:w="45" w:type="dxa"/>
              <w:bottom w:w="0" w:type="dxa"/>
              <w:right w:w="45" w:type="dxa"/>
            </w:tcMar>
            <w:vAlign w:val="center"/>
            <w:hideMark/>
          </w:tcPr>
          <w:p w14:paraId="6926B2C7" w14:textId="77777777" w:rsidR="00B93489" w:rsidRPr="00D6168E" w:rsidRDefault="00B93489" w:rsidP="00584316">
            <w:pPr>
              <w:spacing w:after="0" w:line="240" w:lineRule="auto"/>
              <w:jc w:val="center"/>
              <w:rPr>
                <w:rFonts w:ascii="Bookman Old Style" w:eastAsia="Times New Roman" w:hAnsi="Bookman Old Style" w:cs="Arial"/>
                <w:b/>
                <w:sz w:val="18"/>
                <w:szCs w:val="18"/>
                <w:lang w:eastAsia="en-ID"/>
              </w:rPr>
            </w:pPr>
            <w:r w:rsidRPr="00D6168E">
              <w:rPr>
                <w:rFonts w:ascii="Bookman Old Style" w:eastAsia="Times New Roman" w:hAnsi="Bookman Old Style" w:cs="Arial"/>
                <w:b/>
                <w:sz w:val="18"/>
                <w:szCs w:val="18"/>
                <w:lang w:eastAsia="en-ID"/>
              </w:rPr>
              <w:t>Tahap</w:t>
            </w:r>
          </w:p>
        </w:tc>
        <w:tc>
          <w:tcPr>
            <w:tcW w:w="1040" w:type="dxa"/>
            <w:tcBorders>
              <w:top w:val="single" w:sz="6" w:space="0" w:color="000000"/>
              <w:left w:val="single" w:sz="6" w:space="0" w:color="CCCCCC"/>
              <w:bottom w:val="single" w:sz="6" w:space="0" w:color="000000"/>
              <w:right w:val="single" w:sz="6" w:space="0" w:color="000000"/>
            </w:tcBorders>
            <w:shd w:val="clear" w:color="auto" w:fill="C00000"/>
            <w:tcMar>
              <w:top w:w="0" w:type="dxa"/>
              <w:left w:w="45" w:type="dxa"/>
              <w:bottom w:w="0" w:type="dxa"/>
              <w:right w:w="45" w:type="dxa"/>
            </w:tcMar>
            <w:vAlign w:val="bottom"/>
            <w:hideMark/>
          </w:tcPr>
          <w:p w14:paraId="0CA56C8A" w14:textId="77777777" w:rsidR="00B93489" w:rsidRPr="00D6168E" w:rsidRDefault="00B93489" w:rsidP="00584316">
            <w:pPr>
              <w:spacing w:after="0" w:line="240" w:lineRule="auto"/>
              <w:jc w:val="center"/>
              <w:rPr>
                <w:rFonts w:ascii="Bookman Old Style" w:eastAsia="Times New Roman" w:hAnsi="Bookman Old Style" w:cs="Arial"/>
                <w:b/>
                <w:sz w:val="18"/>
                <w:szCs w:val="18"/>
                <w:lang w:eastAsia="en-ID"/>
              </w:rPr>
            </w:pPr>
            <w:r w:rsidRPr="00D6168E">
              <w:rPr>
                <w:rFonts w:ascii="Bookman Old Style" w:eastAsia="Times New Roman" w:hAnsi="Bookman Old Style" w:cs="Arial"/>
                <w:b/>
                <w:sz w:val="18"/>
                <w:szCs w:val="18"/>
                <w:lang w:eastAsia="en-ID"/>
              </w:rPr>
              <w:t>PBKN</w:t>
            </w:r>
          </w:p>
        </w:tc>
        <w:tc>
          <w:tcPr>
            <w:tcW w:w="1039" w:type="dxa"/>
            <w:tcBorders>
              <w:top w:val="single" w:sz="6" w:space="0" w:color="000000"/>
              <w:left w:val="single" w:sz="6" w:space="0" w:color="CCCCCC"/>
              <w:bottom w:val="single" w:sz="6" w:space="0" w:color="000000"/>
              <w:right w:val="single" w:sz="6" w:space="0" w:color="000000"/>
            </w:tcBorders>
            <w:shd w:val="clear" w:color="auto" w:fill="C00000"/>
            <w:tcMar>
              <w:top w:w="0" w:type="dxa"/>
              <w:left w:w="45" w:type="dxa"/>
              <w:bottom w:w="0" w:type="dxa"/>
              <w:right w:w="45" w:type="dxa"/>
            </w:tcMar>
            <w:vAlign w:val="bottom"/>
            <w:hideMark/>
          </w:tcPr>
          <w:p w14:paraId="4141A15B" w14:textId="77777777" w:rsidR="00B93489" w:rsidRPr="00D6168E" w:rsidRDefault="00B93489" w:rsidP="00584316">
            <w:pPr>
              <w:spacing w:after="0" w:line="240" w:lineRule="auto"/>
              <w:jc w:val="center"/>
              <w:rPr>
                <w:rFonts w:ascii="Bookman Old Style" w:eastAsia="Times New Roman" w:hAnsi="Bookman Old Style" w:cs="Arial"/>
                <w:b/>
                <w:sz w:val="18"/>
                <w:szCs w:val="18"/>
                <w:lang w:eastAsia="en-ID"/>
              </w:rPr>
            </w:pPr>
            <w:r w:rsidRPr="00D6168E">
              <w:rPr>
                <w:rFonts w:ascii="Bookman Old Style" w:eastAsia="Times New Roman" w:hAnsi="Bookman Old Style" w:cs="Arial"/>
                <w:b/>
                <w:sz w:val="18"/>
                <w:szCs w:val="18"/>
                <w:lang w:eastAsia="en-ID"/>
              </w:rPr>
              <w:t>PMDK</w:t>
            </w:r>
          </w:p>
        </w:tc>
        <w:tc>
          <w:tcPr>
            <w:tcW w:w="1187" w:type="dxa"/>
            <w:tcBorders>
              <w:top w:val="single" w:sz="6" w:space="0" w:color="000000"/>
              <w:left w:val="single" w:sz="6" w:space="0" w:color="CCCCCC"/>
              <w:bottom w:val="single" w:sz="6" w:space="0" w:color="000000"/>
              <w:right w:val="single" w:sz="6" w:space="0" w:color="000000"/>
            </w:tcBorders>
            <w:shd w:val="clear" w:color="auto" w:fill="C00000"/>
            <w:tcMar>
              <w:top w:w="0" w:type="dxa"/>
              <w:left w:w="45" w:type="dxa"/>
              <w:bottom w:w="0" w:type="dxa"/>
              <w:right w:w="45" w:type="dxa"/>
            </w:tcMar>
            <w:vAlign w:val="bottom"/>
            <w:hideMark/>
          </w:tcPr>
          <w:p w14:paraId="0DD7F4E1" w14:textId="77777777" w:rsidR="00B93489" w:rsidRPr="00D6168E" w:rsidRDefault="00B93489" w:rsidP="00584316">
            <w:pPr>
              <w:spacing w:after="0" w:line="240" w:lineRule="auto"/>
              <w:jc w:val="center"/>
              <w:rPr>
                <w:rFonts w:ascii="Bookman Old Style" w:eastAsia="Times New Roman" w:hAnsi="Bookman Old Style" w:cs="Arial"/>
                <w:b/>
                <w:sz w:val="18"/>
                <w:szCs w:val="18"/>
                <w:lang w:eastAsia="en-ID"/>
              </w:rPr>
            </w:pPr>
            <w:r w:rsidRPr="00D6168E">
              <w:rPr>
                <w:rFonts w:ascii="Bookman Old Style" w:eastAsia="Times New Roman" w:hAnsi="Bookman Old Style" w:cs="Arial"/>
                <w:b/>
                <w:sz w:val="18"/>
                <w:szCs w:val="18"/>
                <w:lang w:eastAsia="en-ID"/>
              </w:rPr>
              <w:t>PPDP</w:t>
            </w:r>
          </w:p>
        </w:tc>
        <w:tc>
          <w:tcPr>
            <w:tcW w:w="890" w:type="dxa"/>
            <w:tcBorders>
              <w:top w:val="single" w:sz="6" w:space="0" w:color="000000"/>
              <w:left w:val="single" w:sz="6" w:space="0" w:color="CCCCCC"/>
              <w:bottom w:val="single" w:sz="6" w:space="0" w:color="000000"/>
              <w:right w:val="single" w:sz="6" w:space="0" w:color="000000"/>
            </w:tcBorders>
            <w:shd w:val="clear" w:color="auto" w:fill="C00000"/>
            <w:tcMar>
              <w:top w:w="0" w:type="dxa"/>
              <w:left w:w="45" w:type="dxa"/>
              <w:bottom w:w="0" w:type="dxa"/>
              <w:right w:w="45" w:type="dxa"/>
            </w:tcMar>
            <w:vAlign w:val="bottom"/>
            <w:hideMark/>
          </w:tcPr>
          <w:p w14:paraId="30DA26E5" w14:textId="77777777" w:rsidR="00B93489" w:rsidRPr="00D6168E" w:rsidRDefault="00B93489" w:rsidP="00584316">
            <w:pPr>
              <w:spacing w:after="0" w:line="240" w:lineRule="auto"/>
              <w:jc w:val="center"/>
              <w:rPr>
                <w:rFonts w:ascii="Bookman Old Style" w:eastAsia="Times New Roman" w:hAnsi="Bookman Old Style" w:cs="Arial"/>
                <w:b/>
                <w:sz w:val="18"/>
                <w:szCs w:val="18"/>
                <w:lang w:eastAsia="en-ID"/>
              </w:rPr>
            </w:pPr>
            <w:r w:rsidRPr="00D6168E">
              <w:rPr>
                <w:rFonts w:ascii="Bookman Old Style" w:eastAsia="Times New Roman" w:hAnsi="Bookman Old Style" w:cs="Arial"/>
                <w:b/>
                <w:sz w:val="18"/>
                <w:szCs w:val="18"/>
                <w:lang w:eastAsia="en-ID"/>
              </w:rPr>
              <w:t>PVML</w:t>
            </w:r>
          </w:p>
        </w:tc>
        <w:tc>
          <w:tcPr>
            <w:tcW w:w="1131" w:type="dxa"/>
            <w:tcBorders>
              <w:top w:val="single" w:sz="6" w:space="0" w:color="000000"/>
              <w:left w:val="single" w:sz="6" w:space="0" w:color="CCCCCC"/>
              <w:bottom w:val="single" w:sz="6" w:space="0" w:color="000000"/>
              <w:right w:val="single" w:sz="6" w:space="0" w:color="000000"/>
            </w:tcBorders>
            <w:shd w:val="clear" w:color="auto" w:fill="C00000"/>
            <w:tcMar>
              <w:top w:w="0" w:type="dxa"/>
              <w:left w:w="45" w:type="dxa"/>
              <w:bottom w:w="0" w:type="dxa"/>
              <w:right w:w="45" w:type="dxa"/>
            </w:tcMar>
            <w:vAlign w:val="bottom"/>
            <w:hideMark/>
          </w:tcPr>
          <w:p w14:paraId="3C12D9C9" w14:textId="77777777" w:rsidR="00B93489" w:rsidRPr="00D6168E" w:rsidRDefault="00B93489" w:rsidP="00584316">
            <w:pPr>
              <w:spacing w:after="0" w:line="240" w:lineRule="auto"/>
              <w:jc w:val="center"/>
              <w:rPr>
                <w:rFonts w:ascii="Bookman Old Style" w:eastAsia="Times New Roman" w:hAnsi="Bookman Old Style" w:cs="Arial"/>
                <w:b/>
                <w:sz w:val="18"/>
                <w:szCs w:val="18"/>
                <w:lang w:eastAsia="en-ID"/>
              </w:rPr>
            </w:pPr>
            <w:r w:rsidRPr="00D6168E">
              <w:rPr>
                <w:rFonts w:ascii="Bookman Old Style" w:eastAsia="Times New Roman" w:hAnsi="Bookman Old Style" w:cs="Arial"/>
                <w:b/>
                <w:sz w:val="18"/>
                <w:szCs w:val="18"/>
                <w:lang w:eastAsia="en-ID"/>
              </w:rPr>
              <w:t>Jumlah</w:t>
            </w:r>
          </w:p>
        </w:tc>
      </w:tr>
      <w:tr w:rsidR="00B93489" w:rsidRPr="00B56577" w14:paraId="1F8E9B57" w14:textId="77777777" w:rsidTr="00D6168E">
        <w:trPr>
          <w:trHeight w:val="259"/>
        </w:trPr>
        <w:tc>
          <w:tcPr>
            <w:tcW w:w="5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6DA7FBF" w14:textId="77777777" w:rsidR="00B93489" w:rsidRPr="00D6168E" w:rsidRDefault="00B93489" w:rsidP="00584316">
            <w:pPr>
              <w:spacing w:after="0" w:line="240" w:lineRule="auto"/>
              <w:jc w:val="center"/>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1</w:t>
            </w:r>
          </w:p>
        </w:tc>
        <w:tc>
          <w:tcPr>
            <w:tcW w:w="35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763B435" w14:textId="77777777" w:rsidR="00B93489" w:rsidRPr="00D6168E" w:rsidRDefault="00B93489" w:rsidP="00584316">
            <w:pPr>
              <w:spacing w:after="0" w:line="240" w:lineRule="auto"/>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Proses Telaahan</w:t>
            </w:r>
          </w:p>
        </w:tc>
        <w:tc>
          <w:tcPr>
            <w:tcW w:w="10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705055B" w14:textId="77777777" w:rsidR="00B93489" w:rsidRPr="00D6168E" w:rsidRDefault="00B93489" w:rsidP="00584316">
            <w:pPr>
              <w:spacing w:after="0" w:line="240" w:lineRule="auto"/>
              <w:jc w:val="center"/>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5</w:t>
            </w:r>
          </w:p>
        </w:tc>
        <w:tc>
          <w:tcPr>
            <w:tcW w:w="103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6AB656D" w14:textId="77777777" w:rsidR="00B93489" w:rsidRPr="00D6168E" w:rsidRDefault="00B93489" w:rsidP="00584316">
            <w:pPr>
              <w:spacing w:after="0" w:line="240" w:lineRule="auto"/>
              <w:jc w:val="center"/>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10</w:t>
            </w:r>
          </w:p>
        </w:tc>
        <w:tc>
          <w:tcPr>
            <w:tcW w:w="11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85ED99E" w14:textId="77777777" w:rsidR="00B93489" w:rsidRPr="00D6168E" w:rsidRDefault="00B93489" w:rsidP="00584316">
            <w:pPr>
              <w:spacing w:after="0" w:line="240" w:lineRule="auto"/>
              <w:jc w:val="center"/>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1</w:t>
            </w:r>
          </w:p>
        </w:tc>
        <w:tc>
          <w:tcPr>
            <w:tcW w:w="8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9CF6621" w14:textId="77777777" w:rsidR="00B93489" w:rsidRPr="00D6168E" w:rsidRDefault="00B93489" w:rsidP="00584316">
            <w:pPr>
              <w:spacing w:after="0" w:line="240" w:lineRule="auto"/>
              <w:jc w:val="center"/>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2</w:t>
            </w:r>
          </w:p>
        </w:tc>
        <w:tc>
          <w:tcPr>
            <w:tcW w:w="113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48DD0C4" w14:textId="77777777" w:rsidR="00B93489" w:rsidRPr="00D6168E" w:rsidRDefault="00B93489" w:rsidP="00584316">
            <w:pPr>
              <w:spacing w:after="0" w:line="240" w:lineRule="auto"/>
              <w:jc w:val="center"/>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18</w:t>
            </w:r>
          </w:p>
        </w:tc>
      </w:tr>
      <w:tr w:rsidR="00B93489" w:rsidRPr="00B56577" w14:paraId="7A319A67" w14:textId="77777777" w:rsidTr="00D6168E">
        <w:trPr>
          <w:trHeight w:val="259"/>
        </w:trPr>
        <w:tc>
          <w:tcPr>
            <w:tcW w:w="5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CEA0B8F" w14:textId="77777777" w:rsidR="00B93489" w:rsidRPr="00D6168E" w:rsidRDefault="00B93489" w:rsidP="00584316">
            <w:pPr>
              <w:spacing w:after="0" w:line="240" w:lineRule="auto"/>
              <w:jc w:val="center"/>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2</w:t>
            </w:r>
          </w:p>
        </w:tc>
        <w:tc>
          <w:tcPr>
            <w:tcW w:w="35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9CA3434" w14:textId="77777777" w:rsidR="00B93489" w:rsidRPr="00D6168E" w:rsidRDefault="00B93489" w:rsidP="00584316">
            <w:pPr>
              <w:spacing w:after="0" w:line="240" w:lineRule="auto"/>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Penyelidikan</w:t>
            </w:r>
          </w:p>
        </w:tc>
        <w:tc>
          <w:tcPr>
            <w:tcW w:w="10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D41A520" w14:textId="77777777" w:rsidR="00B93489" w:rsidRPr="00D6168E" w:rsidRDefault="00B93489" w:rsidP="00584316">
            <w:pPr>
              <w:spacing w:after="0" w:line="240" w:lineRule="auto"/>
              <w:jc w:val="center"/>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5</w:t>
            </w:r>
          </w:p>
        </w:tc>
        <w:tc>
          <w:tcPr>
            <w:tcW w:w="103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A68AEBE" w14:textId="77777777" w:rsidR="00B93489" w:rsidRPr="00D6168E" w:rsidRDefault="00B93489" w:rsidP="00584316">
            <w:pPr>
              <w:spacing w:after="0" w:line="240" w:lineRule="auto"/>
              <w:jc w:val="center"/>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3</w:t>
            </w:r>
          </w:p>
        </w:tc>
        <w:tc>
          <w:tcPr>
            <w:tcW w:w="11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D047B00" w14:textId="77777777" w:rsidR="00B93489" w:rsidRPr="00D6168E" w:rsidRDefault="00B93489" w:rsidP="00584316">
            <w:pPr>
              <w:spacing w:after="0" w:line="240" w:lineRule="auto"/>
              <w:jc w:val="center"/>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2</w:t>
            </w:r>
          </w:p>
        </w:tc>
        <w:tc>
          <w:tcPr>
            <w:tcW w:w="8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FEF8FE3" w14:textId="77777777" w:rsidR="00B93489" w:rsidRPr="00D6168E" w:rsidRDefault="00B93489" w:rsidP="00584316">
            <w:pPr>
              <w:spacing w:after="0" w:line="240" w:lineRule="auto"/>
              <w:jc w:val="center"/>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3</w:t>
            </w:r>
          </w:p>
        </w:tc>
        <w:tc>
          <w:tcPr>
            <w:tcW w:w="113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46FA59E" w14:textId="77777777" w:rsidR="00B93489" w:rsidRPr="00D6168E" w:rsidRDefault="00B93489" w:rsidP="00584316">
            <w:pPr>
              <w:spacing w:after="0" w:line="240" w:lineRule="auto"/>
              <w:jc w:val="center"/>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13</w:t>
            </w:r>
          </w:p>
        </w:tc>
      </w:tr>
      <w:tr w:rsidR="00B93489" w:rsidRPr="00B56577" w14:paraId="606D9BD3" w14:textId="77777777" w:rsidTr="00D6168E">
        <w:trPr>
          <w:trHeight w:val="259"/>
        </w:trPr>
        <w:tc>
          <w:tcPr>
            <w:tcW w:w="5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BFD52EF" w14:textId="77777777" w:rsidR="00B93489" w:rsidRPr="00D6168E" w:rsidRDefault="00B93489" w:rsidP="00584316">
            <w:pPr>
              <w:spacing w:after="0" w:line="240" w:lineRule="auto"/>
              <w:jc w:val="center"/>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3</w:t>
            </w:r>
          </w:p>
        </w:tc>
        <w:tc>
          <w:tcPr>
            <w:tcW w:w="35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0637BDC" w14:textId="77777777" w:rsidR="00B93489" w:rsidRPr="00D6168E" w:rsidRDefault="00B93489" w:rsidP="00584316">
            <w:pPr>
              <w:spacing w:after="0" w:line="240" w:lineRule="auto"/>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Penyidikan</w:t>
            </w:r>
          </w:p>
        </w:tc>
        <w:tc>
          <w:tcPr>
            <w:tcW w:w="10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3936304" w14:textId="77777777" w:rsidR="00B93489" w:rsidRPr="00D6168E" w:rsidRDefault="00B93489" w:rsidP="00584316">
            <w:pPr>
              <w:spacing w:after="0" w:line="240" w:lineRule="auto"/>
              <w:jc w:val="center"/>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11</w:t>
            </w:r>
          </w:p>
        </w:tc>
        <w:tc>
          <w:tcPr>
            <w:tcW w:w="103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84A5DDA" w14:textId="77777777" w:rsidR="00B93489" w:rsidRPr="00D6168E" w:rsidRDefault="00B93489" w:rsidP="00584316">
            <w:pPr>
              <w:spacing w:after="0" w:line="240" w:lineRule="auto"/>
              <w:jc w:val="center"/>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5</w:t>
            </w:r>
          </w:p>
        </w:tc>
        <w:tc>
          <w:tcPr>
            <w:tcW w:w="11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7FF6664" w14:textId="77777777" w:rsidR="00B93489" w:rsidRPr="00D6168E" w:rsidRDefault="00B93489" w:rsidP="00584316">
            <w:pPr>
              <w:spacing w:after="0" w:line="240" w:lineRule="auto"/>
              <w:jc w:val="center"/>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3</w:t>
            </w:r>
          </w:p>
        </w:tc>
        <w:tc>
          <w:tcPr>
            <w:tcW w:w="8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C07B6E8" w14:textId="77777777" w:rsidR="00B93489" w:rsidRPr="00D6168E" w:rsidRDefault="00B93489" w:rsidP="00584316">
            <w:pPr>
              <w:spacing w:after="0" w:line="240" w:lineRule="auto"/>
              <w:jc w:val="center"/>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0</w:t>
            </w:r>
          </w:p>
        </w:tc>
        <w:tc>
          <w:tcPr>
            <w:tcW w:w="113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F00E567" w14:textId="77777777" w:rsidR="00B93489" w:rsidRPr="00D6168E" w:rsidRDefault="00B93489" w:rsidP="00584316">
            <w:pPr>
              <w:spacing w:after="0" w:line="240" w:lineRule="auto"/>
              <w:jc w:val="center"/>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19</w:t>
            </w:r>
          </w:p>
        </w:tc>
      </w:tr>
      <w:tr w:rsidR="00B93489" w:rsidRPr="00B56577" w14:paraId="5EA02A48" w14:textId="77777777" w:rsidTr="00D6168E">
        <w:trPr>
          <w:trHeight w:val="259"/>
        </w:trPr>
        <w:tc>
          <w:tcPr>
            <w:tcW w:w="5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7FFCDC9" w14:textId="77777777" w:rsidR="00B93489" w:rsidRPr="00D6168E" w:rsidRDefault="00B93489" w:rsidP="00584316">
            <w:pPr>
              <w:spacing w:after="0" w:line="240" w:lineRule="auto"/>
              <w:jc w:val="center"/>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4</w:t>
            </w:r>
          </w:p>
        </w:tc>
        <w:tc>
          <w:tcPr>
            <w:tcW w:w="35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B867395" w14:textId="77777777" w:rsidR="00B93489" w:rsidRPr="00D6168E" w:rsidRDefault="00B93489" w:rsidP="00584316">
            <w:pPr>
              <w:spacing w:after="0" w:line="240" w:lineRule="auto"/>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Berkas</w:t>
            </w:r>
          </w:p>
        </w:tc>
        <w:tc>
          <w:tcPr>
            <w:tcW w:w="10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00CF39E" w14:textId="77777777" w:rsidR="00B93489" w:rsidRPr="00D6168E" w:rsidRDefault="00B93489" w:rsidP="00584316">
            <w:pPr>
              <w:spacing w:after="0" w:line="240" w:lineRule="auto"/>
              <w:jc w:val="center"/>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2</w:t>
            </w:r>
          </w:p>
        </w:tc>
        <w:tc>
          <w:tcPr>
            <w:tcW w:w="103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BEAE219" w14:textId="77777777" w:rsidR="00B93489" w:rsidRPr="00D6168E" w:rsidRDefault="00B93489" w:rsidP="00584316">
            <w:pPr>
              <w:spacing w:after="0" w:line="240" w:lineRule="auto"/>
              <w:jc w:val="center"/>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0</w:t>
            </w:r>
          </w:p>
        </w:tc>
        <w:tc>
          <w:tcPr>
            <w:tcW w:w="11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CF08990" w14:textId="77777777" w:rsidR="00B93489" w:rsidRPr="00D6168E" w:rsidRDefault="00B93489" w:rsidP="00584316">
            <w:pPr>
              <w:spacing w:after="0" w:line="240" w:lineRule="auto"/>
              <w:jc w:val="center"/>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2</w:t>
            </w:r>
          </w:p>
        </w:tc>
        <w:tc>
          <w:tcPr>
            <w:tcW w:w="8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2DA20CB" w14:textId="77777777" w:rsidR="00B93489" w:rsidRPr="00D6168E" w:rsidRDefault="00B93489" w:rsidP="00584316">
            <w:pPr>
              <w:spacing w:after="0" w:line="240" w:lineRule="auto"/>
              <w:jc w:val="center"/>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1</w:t>
            </w:r>
          </w:p>
        </w:tc>
        <w:tc>
          <w:tcPr>
            <w:tcW w:w="113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528F087" w14:textId="77777777" w:rsidR="00B93489" w:rsidRPr="00D6168E" w:rsidRDefault="00B93489" w:rsidP="00584316">
            <w:pPr>
              <w:spacing w:after="0" w:line="240" w:lineRule="auto"/>
              <w:jc w:val="center"/>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5</w:t>
            </w:r>
          </w:p>
        </w:tc>
      </w:tr>
      <w:tr w:rsidR="00B93489" w:rsidRPr="00B56577" w14:paraId="32B9DC12" w14:textId="77777777" w:rsidTr="00D6168E">
        <w:trPr>
          <w:trHeight w:val="259"/>
        </w:trPr>
        <w:tc>
          <w:tcPr>
            <w:tcW w:w="585"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182F1AF" w14:textId="77777777" w:rsidR="00B93489" w:rsidRPr="00D6168E" w:rsidRDefault="00B93489" w:rsidP="00584316">
            <w:pPr>
              <w:spacing w:after="0" w:line="240" w:lineRule="auto"/>
              <w:jc w:val="center"/>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5</w:t>
            </w:r>
          </w:p>
        </w:tc>
        <w:tc>
          <w:tcPr>
            <w:tcW w:w="356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77EA522" w14:textId="77777777" w:rsidR="00B93489" w:rsidRPr="00D6168E" w:rsidRDefault="00B93489" w:rsidP="00584316">
            <w:pPr>
              <w:spacing w:after="0" w:line="240" w:lineRule="auto"/>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P-21</w:t>
            </w:r>
          </w:p>
        </w:tc>
        <w:tc>
          <w:tcPr>
            <w:tcW w:w="104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091EC09" w14:textId="77777777" w:rsidR="00B93489" w:rsidRPr="00D6168E" w:rsidRDefault="00B93489" w:rsidP="00584316">
            <w:pPr>
              <w:spacing w:after="0" w:line="240" w:lineRule="auto"/>
              <w:jc w:val="center"/>
              <w:rPr>
                <w:rFonts w:ascii="Bookman Old Style" w:eastAsia="Times New Roman" w:hAnsi="Bookman Old Style" w:cs="Arial"/>
                <w:b/>
                <w:sz w:val="18"/>
                <w:szCs w:val="18"/>
                <w:lang w:eastAsia="en-ID"/>
              </w:rPr>
            </w:pPr>
            <w:r w:rsidRPr="00D6168E">
              <w:rPr>
                <w:rFonts w:ascii="Bookman Old Style" w:eastAsia="Times New Roman" w:hAnsi="Bookman Old Style" w:cs="Arial"/>
                <w:b/>
                <w:sz w:val="18"/>
                <w:szCs w:val="18"/>
                <w:lang w:eastAsia="en-ID"/>
              </w:rPr>
              <w:t>130</w:t>
            </w:r>
          </w:p>
        </w:tc>
        <w:tc>
          <w:tcPr>
            <w:tcW w:w="103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918D136" w14:textId="77777777" w:rsidR="00B93489" w:rsidRPr="00D6168E" w:rsidRDefault="00B93489" w:rsidP="00584316">
            <w:pPr>
              <w:spacing w:after="0" w:line="240" w:lineRule="auto"/>
              <w:jc w:val="center"/>
              <w:rPr>
                <w:rFonts w:ascii="Bookman Old Style" w:eastAsia="Times New Roman" w:hAnsi="Bookman Old Style" w:cs="Arial"/>
                <w:b/>
                <w:sz w:val="18"/>
                <w:szCs w:val="18"/>
                <w:lang w:eastAsia="en-ID"/>
              </w:rPr>
            </w:pPr>
            <w:r w:rsidRPr="00D6168E">
              <w:rPr>
                <w:rFonts w:ascii="Bookman Old Style" w:eastAsia="Times New Roman" w:hAnsi="Bookman Old Style" w:cs="Arial"/>
                <w:b/>
                <w:sz w:val="18"/>
                <w:szCs w:val="18"/>
                <w:lang w:eastAsia="en-ID"/>
              </w:rPr>
              <w:t>5</w:t>
            </w:r>
          </w:p>
        </w:tc>
        <w:tc>
          <w:tcPr>
            <w:tcW w:w="118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81EEA71" w14:textId="77777777" w:rsidR="00B93489" w:rsidRPr="00D6168E" w:rsidRDefault="00B93489" w:rsidP="00584316">
            <w:pPr>
              <w:spacing w:after="0" w:line="240" w:lineRule="auto"/>
              <w:jc w:val="center"/>
              <w:rPr>
                <w:rFonts w:ascii="Bookman Old Style" w:eastAsia="Times New Roman" w:hAnsi="Bookman Old Style" w:cs="Arial"/>
                <w:b/>
                <w:sz w:val="18"/>
                <w:szCs w:val="18"/>
                <w:lang w:eastAsia="en-ID"/>
              </w:rPr>
            </w:pPr>
            <w:r w:rsidRPr="00D6168E">
              <w:rPr>
                <w:rFonts w:ascii="Bookman Old Style" w:eastAsia="Times New Roman" w:hAnsi="Bookman Old Style" w:cs="Arial"/>
                <w:b/>
                <w:sz w:val="18"/>
                <w:szCs w:val="18"/>
                <w:lang w:eastAsia="en-ID"/>
              </w:rPr>
              <w:t>20</w:t>
            </w:r>
          </w:p>
        </w:tc>
        <w:tc>
          <w:tcPr>
            <w:tcW w:w="89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514EB7C" w14:textId="77777777" w:rsidR="00B93489" w:rsidRPr="00D6168E" w:rsidRDefault="00B93489" w:rsidP="00584316">
            <w:pPr>
              <w:spacing w:after="0" w:line="240" w:lineRule="auto"/>
              <w:jc w:val="center"/>
              <w:rPr>
                <w:rFonts w:ascii="Bookman Old Style" w:eastAsia="Times New Roman" w:hAnsi="Bookman Old Style" w:cs="Arial"/>
                <w:b/>
                <w:sz w:val="18"/>
                <w:szCs w:val="18"/>
                <w:lang w:eastAsia="en-ID"/>
              </w:rPr>
            </w:pPr>
            <w:r w:rsidRPr="00D6168E">
              <w:rPr>
                <w:rFonts w:ascii="Bookman Old Style" w:eastAsia="Times New Roman" w:hAnsi="Bookman Old Style" w:cs="Arial"/>
                <w:b/>
                <w:sz w:val="18"/>
                <w:szCs w:val="18"/>
                <w:lang w:eastAsia="en-ID"/>
              </w:rPr>
              <w:t>1</w:t>
            </w:r>
          </w:p>
        </w:tc>
        <w:tc>
          <w:tcPr>
            <w:tcW w:w="113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E9AC665" w14:textId="77777777" w:rsidR="00B93489" w:rsidRPr="00D6168E" w:rsidRDefault="00B93489" w:rsidP="00584316">
            <w:pPr>
              <w:spacing w:after="0" w:line="240" w:lineRule="auto"/>
              <w:jc w:val="center"/>
              <w:rPr>
                <w:rFonts w:ascii="Bookman Old Style" w:eastAsia="Times New Roman" w:hAnsi="Bookman Old Style" w:cs="Arial"/>
                <w:b/>
                <w:sz w:val="18"/>
                <w:szCs w:val="18"/>
                <w:lang w:eastAsia="en-ID"/>
              </w:rPr>
            </w:pPr>
            <w:r w:rsidRPr="00D6168E">
              <w:rPr>
                <w:rFonts w:ascii="Bookman Old Style" w:eastAsia="Times New Roman" w:hAnsi="Bookman Old Style" w:cs="Arial"/>
                <w:b/>
                <w:sz w:val="18"/>
                <w:szCs w:val="18"/>
                <w:lang w:eastAsia="en-ID"/>
              </w:rPr>
              <w:t>156</w:t>
            </w:r>
          </w:p>
        </w:tc>
      </w:tr>
    </w:tbl>
    <w:p w14:paraId="1F3C6E0A" w14:textId="77777777" w:rsidR="00B93489" w:rsidRPr="00D6168E" w:rsidRDefault="00B93489" w:rsidP="00D6168E">
      <w:pPr>
        <w:spacing w:after="0"/>
        <w:rPr>
          <w:rFonts w:ascii="Bookman Old Style" w:hAnsi="Bookman Old Style"/>
          <w:sz w:val="8"/>
          <w:szCs w:val="8"/>
        </w:rPr>
      </w:pPr>
    </w:p>
    <w:tbl>
      <w:tblPr>
        <w:tblW w:w="9403" w:type="dxa"/>
        <w:tblCellMar>
          <w:left w:w="0" w:type="dxa"/>
          <w:right w:w="0" w:type="dxa"/>
        </w:tblCellMar>
        <w:tblLook w:val="04A0" w:firstRow="1" w:lastRow="0" w:firstColumn="1" w:lastColumn="0" w:noHBand="0" w:noVBand="1"/>
      </w:tblPr>
      <w:tblGrid>
        <w:gridCol w:w="580"/>
        <w:gridCol w:w="3530"/>
        <w:gridCol w:w="1030"/>
        <w:gridCol w:w="1029"/>
        <w:gridCol w:w="1176"/>
        <w:gridCol w:w="882"/>
        <w:gridCol w:w="1176"/>
      </w:tblGrid>
      <w:tr w:rsidR="00B93489" w:rsidRPr="00D834A0" w14:paraId="57AFB43C" w14:textId="77777777" w:rsidTr="00D6168E">
        <w:trPr>
          <w:trHeight w:val="238"/>
        </w:trPr>
        <w:tc>
          <w:tcPr>
            <w:tcW w:w="58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C5644C1" w14:textId="77777777" w:rsidR="00B93489" w:rsidRPr="00D6168E" w:rsidRDefault="00B93489">
            <w:pPr>
              <w:spacing w:after="0" w:line="240" w:lineRule="auto"/>
              <w:jc w:val="center"/>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1</w:t>
            </w:r>
          </w:p>
        </w:tc>
        <w:tc>
          <w:tcPr>
            <w:tcW w:w="3530"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498991F" w14:textId="77777777" w:rsidR="00B93489" w:rsidRPr="00D6168E" w:rsidRDefault="00B93489">
            <w:pPr>
              <w:spacing w:after="0" w:line="240" w:lineRule="auto"/>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 xml:space="preserve">Putusan Pengadilan </w:t>
            </w:r>
            <w:r w:rsidRPr="00D6168E">
              <w:rPr>
                <w:rFonts w:ascii="Bookman Old Style" w:eastAsia="Times New Roman" w:hAnsi="Bookman Old Style" w:cs="Arial"/>
                <w:i/>
                <w:sz w:val="18"/>
                <w:szCs w:val="18"/>
                <w:lang w:eastAsia="en-ID"/>
              </w:rPr>
              <w:t>In Kracht</w:t>
            </w:r>
          </w:p>
        </w:tc>
        <w:tc>
          <w:tcPr>
            <w:tcW w:w="1030"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D372197" w14:textId="77777777" w:rsidR="00B93489" w:rsidRPr="00D6168E" w:rsidRDefault="00B93489">
            <w:pPr>
              <w:spacing w:after="0" w:line="240" w:lineRule="auto"/>
              <w:jc w:val="center"/>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96</w:t>
            </w:r>
          </w:p>
        </w:tc>
        <w:tc>
          <w:tcPr>
            <w:tcW w:w="102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371063D7" w14:textId="77777777" w:rsidR="00B93489" w:rsidRPr="00D6168E" w:rsidRDefault="00B93489">
            <w:pPr>
              <w:spacing w:after="0" w:line="240" w:lineRule="auto"/>
              <w:jc w:val="center"/>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5</w:t>
            </w:r>
          </w:p>
        </w:tc>
        <w:tc>
          <w:tcPr>
            <w:tcW w:w="1176"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AD2FB9C" w14:textId="77777777" w:rsidR="00B93489" w:rsidRPr="00D6168E" w:rsidRDefault="00B93489">
            <w:pPr>
              <w:spacing w:after="0" w:line="240" w:lineRule="auto"/>
              <w:jc w:val="center"/>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18</w:t>
            </w:r>
          </w:p>
        </w:tc>
        <w:tc>
          <w:tcPr>
            <w:tcW w:w="882"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B0B549B" w14:textId="77777777" w:rsidR="00B93489" w:rsidRPr="00D6168E" w:rsidRDefault="00B93489">
            <w:pPr>
              <w:spacing w:after="0" w:line="240" w:lineRule="auto"/>
              <w:jc w:val="center"/>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1</w:t>
            </w:r>
          </w:p>
        </w:tc>
        <w:tc>
          <w:tcPr>
            <w:tcW w:w="1176"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CB99C58" w14:textId="77777777" w:rsidR="00B93489" w:rsidRPr="00D6168E" w:rsidRDefault="00B93489">
            <w:pPr>
              <w:spacing w:after="0" w:line="240" w:lineRule="auto"/>
              <w:jc w:val="center"/>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120</w:t>
            </w:r>
          </w:p>
        </w:tc>
      </w:tr>
      <w:tr w:rsidR="00B93489" w:rsidRPr="00D834A0" w14:paraId="1B4AE9DB" w14:textId="77777777" w:rsidTr="00D6168E">
        <w:trPr>
          <w:trHeight w:val="238"/>
        </w:trPr>
        <w:tc>
          <w:tcPr>
            <w:tcW w:w="58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AA23A97" w14:textId="77777777" w:rsidR="00B93489" w:rsidRPr="00D6168E" w:rsidRDefault="00B93489">
            <w:pPr>
              <w:spacing w:after="0" w:line="240" w:lineRule="auto"/>
              <w:jc w:val="center"/>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2</w:t>
            </w:r>
          </w:p>
        </w:tc>
        <w:tc>
          <w:tcPr>
            <w:tcW w:w="35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CAE6FB3" w14:textId="77777777" w:rsidR="00B93489" w:rsidRPr="00D6168E" w:rsidRDefault="00B93489">
            <w:pPr>
              <w:spacing w:after="0" w:line="240" w:lineRule="auto"/>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Banding</w:t>
            </w:r>
          </w:p>
        </w:tc>
        <w:tc>
          <w:tcPr>
            <w:tcW w:w="10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AFFEC63" w14:textId="77777777" w:rsidR="00B93489" w:rsidRPr="00D6168E" w:rsidRDefault="00B93489">
            <w:pPr>
              <w:spacing w:after="0" w:line="240" w:lineRule="auto"/>
              <w:jc w:val="center"/>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0</w:t>
            </w:r>
          </w:p>
        </w:tc>
        <w:tc>
          <w:tcPr>
            <w:tcW w:w="102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671C5AF1" w14:textId="77777777" w:rsidR="00B93489" w:rsidRPr="00D6168E" w:rsidRDefault="00B93489">
            <w:pPr>
              <w:spacing w:after="0" w:line="240" w:lineRule="auto"/>
              <w:jc w:val="center"/>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0</w:t>
            </w:r>
          </w:p>
        </w:tc>
        <w:tc>
          <w:tcPr>
            <w:tcW w:w="11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5D9CC9B" w14:textId="77777777" w:rsidR="00B93489" w:rsidRPr="00D6168E" w:rsidRDefault="00B93489">
            <w:pPr>
              <w:spacing w:after="0" w:line="240" w:lineRule="auto"/>
              <w:jc w:val="center"/>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0</w:t>
            </w:r>
          </w:p>
        </w:tc>
        <w:tc>
          <w:tcPr>
            <w:tcW w:w="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F8B3637" w14:textId="77777777" w:rsidR="00B93489" w:rsidRPr="00D6168E" w:rsidRDefault="00B93489">
            <w:pPr>
              <w:spacing w:after="0" w:line="240" w:lineRule="auto"/>
              <w:jc w:val="center"/>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0</w:t>
            </w:r>
          </w:p>
        </w:tc>
        <w:tc>
          <w:tcPr>
            <w:tcW w:w="11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AABC901" w14:textId="77777777" w:rsidR="00B93489" w:rsidRPr="00D6168E" w:rsidRDefault="00B93489">
            <w:pPr>
              <w:spacing w:after="0" w:line="240" w:lineRule="auto"/>
              <w:jc w:val="center"/>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0</w:t>
            </w:r>
          </w:p>
        </w:tc>
      </w:tr>
      <w:tr w:rsidR="00B93489" w:rsidRPr="00D834A0" w14:paraId="2B528F31" w14:textId="77777777" w:rsidTr="00D6168E">
        <w:trPr>
          <w:trHeight w:val="238"/>
        </w:trPr>
        <w:tc>
          <w:tcPr>
            <w:tcW w:w="580"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3FA3CC5" w14:textId="77777777" w:rsidR="00B93489" w:rsidRPr="00D6168E" w:rsidRDefault="00B93489">
            <w:pPr>
              <w:spacing w:after="0" w:line="240" w:lineRule="auto"/>
              <w:jc w:val="center"/>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3</w:t>
            </w:r>
          </w:p>
        </w:tc>
        <w:tc>
          <w:tcPr>
            <w:tcW w:w="35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1FA0C9C" w14:textId="77777777" w:rsidR="00B93489" w:rsidRPr="00D6168E" w:rsidRDefault="00B93489">
            <w:pPr>
              <w:spacing w:after="0" w:line="240" w:lineRule="auto"/>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Kasasi</w:t>
            </w:r>
          </w:p>
        </w:tc>
        <w:tc>
          <w:tcPr>
            <w:tcW w:w="103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0C29B9C" w14:textId="77777777" w:rsidR="00B93489" w:rsidRPr="00D6168E" w:rsidRDefault="00B93489">
            <w:pPr>
              <w:spacing w:after="0" w:line="240" w:lineRule="auto"/>
              <w:jc w:val="center"/>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7</w:t>
            </w:r>
          </w:p>
        </w:tc>
        <w:tc>
          <w:tcPr>
            <w:tcW w:w="102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44D86878" w14:textId="77777777" w:rsidR="00B93489" w:rsidRPr="00D6168E" w:rsidRDefault="00B93489">
            <w:pPr>
              <w:spacing w:after="0" w:line="240" w:lineRule="auto"/>
              <w:jc w:val="center"/>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0</w:t>
            </w:r>
          </w:p>
        </w:tc>
        <w:tc>
          <w:tcPr>
            <w:tcW w:w="11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D2C914C" w14:textId="77777777" w:rsidR="00B93489" w:rsidRPr="00D6168E" w:rsidRDefault="00B93489">
            <w:pPr>
              <w:spacing w:after="0" w:line="240" w:lineRule="auto"/>
              <w:jc w:val="center"/>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2</w:t>
            </w:r>
          </w:p>
        </w:tc>
        <w:tc>
          <w:tcPr>
            <w:tcW w:w="8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1CEDD68" w14:textId="77777777" w:rsidR="00B93489" w:rsidRPr="00D6168E" w:rsidRDefault="00B93489">
            <w:pPr>
              <w:spacing w:after="0" w:line="240" w:lineRule="auto"/>
              <w:jc w:val="center"/>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0</w:t>
            </w:r>
          </w:p>
        </w:tc>
        <w:tc>
          <w:tcPr>
            <w:tcW w:w="117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810E5F4" w14:textId="77777777" w:rsidR="00B93489" w:rsidRPr="00D6168E" w:rsidRDefault="00B93489">
            <w:pPr>
              <w:spacing w:after="0" w:line="240" w:lineRule="auto"/>
              <w:jc w:val="center"/>
              <w:rPr>
                <w:rFonts w:ascii="Bookman Old Style" w:eastAsia="Times New Roman" w:hAnsi="Bookman Old Style" w:cs="Arial"/>
                <w:sz w:val="18"/>
                <w:szCs w:val="18"/>
                <w:lang w:eastAsia="en-ID"/>
              </w:rPr>
            </w:pPr>
            <w:r w:rsidRPr="00D6168E">
              <w:rPr>
                <w:rFonts w:ascii="Bookman Old Style" w:eastAsia="Times New Roman" w:hAnsi="Bookman Old Style" w:cs="Arial"/>
                <w:sz w:val="18"/>
                <w:szCs w:val="18"/>
                <w:lang w:eastAsia="en-ID"/>
              </w:rPr>
              <w:t>9</w:t>
            </w:r>
          </w:p>
        </w:tc>
      </w:tr>
      <w:tr w:rsidR="00B56577" w:rsidRPr="00D834A0" w14:paraId="02DB3CCE" w14:textId="77777777" w:rsidTr="00B56577">
        <w:trPr>
          <w:trHeight w:val="238"/>
        </w:trPr>
        <w:tc>
          <w:tcPr>
            <w:tcW w:w="4110" w:type="dxa"/>
            <w:gridSpan w:val="2"/>
            <w:tcBorders>
              <w:top w:val="single" w:sz="6" w:space="0" w:color="CCCCCC"/>
              <w:left w:val="single" w:sz="6" w:space="0" w:color="000000"/>
              <w:bottom w:val="single" w:sz="6" w:space="0" w:color="000000"/>
              <w:right w:val="single" w:sz="6" w:space="0" w:color="000000"/>
            </w:tcBorders>
            <w:shd w:val="clear" w:color="auto" w:fill="D9D9D9" w:themeFill="background1" w:themeFillShade="D9"/>
            <w:tcMar>
              <w:top w:w="0" w:type="dxa"/>
              <w:left w:w="45" w:type="dxa"/>
              <w:bottom w:w="0" w:type="dxa"/>
              <w:right w:w="45" w:type="dxa"/>
            </w:tcMar>
            <w:vAlign w:val="bottom"/>
            <w:hideMark/>
          </w:tcPr>
          <w:p w14:paraId="194C2491" w14:textId="77777777" w:rsidR="00B93489" w:rsidRPr="00D6168E" w:rsidRDefault="00B93489">
            <w:pPr>
              <w:spacing w:after="0" w:line="240" w:lineRule="auto"/>
              <w:jc w:val="center"/>
              <w:rPr>
                <w:rFonts w:ascii="Bookman Old Style" w:eastAsia="Times New Roman" w:hAnsi="Bookman Old Style" w:cs="Arial"/>
                <w:b/>
                <w:bCs/>
                <w:sz w:val="18"/>
                <w:szCs w:val="18"/>
                <w:lang w:eastAsia="en-ID"/>
              </w:rPr>
            </w:pPr>
            <w:r w:rsidRPr="00D6168E">
              <w:rPr>
                <w:rFonts w:ascii="Bookman Old Style" w:eastAsia="Times New Roman" w:hAnsi="Bookman Old Style" w:cs="Arial"/>
                <w:b/>
                <w:bCs/>
                <w:sz w:val="18"/>
                <w:szCs w:val="18"/>
                <w:lang w:eastAsia="en-ID"/>
              </w:rPr>
              <w:t>Total</w:t>
            </w:r>
          </w:p>
        </w:tc>
        <w:tc>
          <w:tcPr>
            <w:tcW w:w="1030"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5" w:type="dxa"/>
              <w:bottom w:w="0" w:type="dxa"/>
              <w:right w:w="45" w:type="dxa"/>
            </w:tcMar>
            <w:vAlign w:val="bottom"/>
            <w:hideMark/>
          </w:tcPr>
          <w:p w14:paraId="19239962" w14:textId="77777777" w:rsidR="00B93489" w:rsidRPr="00D6168E" w:rsidRDefault="00B93489">
            <w:pPr>
              <w:spacing w:after="0" w:line="240" w:lineRule="auto"/>
              <w:jc w:val="center"/>
              <w:rPr>
                <w:rFonts w:ascii="Bookman Old Style" w:eastAsia="Times New Roman" w:hAnsi="Bookman Old Style" w:cs="Arial"/>
                <w:sz w:val="18"/>
                <w:szCs w:val="18"/>
                <w:lang w:eastAsia="en-ID"/>
              </w:rPr>
            </w:pPr>
          </w:p>
        </w:tc>
        <w:tc>
          <w:tcPr>
            <w:tcW w:w="1029"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5" w:type="dxa"/>
              <w:bottom w:w="0" w:type="dxa"/>
              <w:right w:w="45" w:type="dxa"/>
            </w:tcMar>
            <w:vAlign w:val="bottom"/>
          </w:tcPr>
          <w:p w14:paraId="05BFFBC1" w14:textId="77777777" w:rsidR="00B93489" w:rsidRPr="00D6168E" w:rsidRDefault="00B93489">
            <w:pPr>
              <w:spacing w:after="0" w:line="240" w:lineRule="auto"/>
              <w:jc w:val="center"/>
              <w:rPr>
                <w:rFonts w:ascii="Bookman Old Style" w:eastAsia="Times New Roman" w:hAnsi="Bookman Old Style" w:cs="Arial"/>
                <w:sz w:val="18"/>
                <w:szCs w:val="18"/>
                <w:lang w:eastAsia="en-ID"/>
              </w:rPr>
            </w:pPr>
          </w:p>
        </w:tc>
        <w:tc>
          <w:tcPr>
            <w:tcW w:w="1176"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5" w:type="dxa"/>
              <w:bottom w:w="0" w:type="dxa"/>
              <w:right w:w="45" w:type="dxa"/>
            </w:tcMar>
            <w:vAlign w:val="bottom"/>
          </w:tcPr>
          <w:p w14:paraId="3129C29A" w14:textId="77777777" w:rsidR="00B93489" w:rsidRPr="00D6168E" w:rsidRDefault="00B93489">
            <w:pPr>
              <w:spacing w:after="0" w:line="240" w:lineRule="auto"/>
              <w:jc w:val="center"/>
              <w:rPr>
                <w:rFonts w:ascii="Bookman Old Style" w:eastAsia="Times New Roman" w:hAnsi="Bookman Old Style" w:cs="Arial"/>
                <w:sz w:val="18"/>
                <w:szCs w:val="18"/>
                <w:lang w:eastAsia="en-ID"/>
              </w:rPr>
            </w:pPr>
          </w:p>
        </w:tc>
        <w:tc>
          <w:tcPr>
            <w:tcW w:w="882"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5" w:type="dxa"/>
              <w:bottom w:w="0" w:type="dxa"/>
              <w:right w:w="45" w:type="dxa"/>
            </w:tcMar>
            <w:vAlign w:val="bottom"/>
          </w:tcPr>
          <w:p w14:paraId="2A1B5D39" w14:textId="77777777" w:rsidR="00B93489" w:rsidRPr="00D6168E" w:rsidRDefault="00B93489">
            <w:pPr>
              <w:spacing w:after="0" w:line="240" w:lineRule="auto"/>
              <w:jc w:val="center"/>
              <w:rPr>
                <w:rFonts w:ascii="Bookman Old Style" w:eastAsia="Times New Roman" w:hAnsi="Bookman Old Style" w:cs="Arial"/>
                <w:sz w:val="18"/>
                <w:szCs w:val="18"/>
                <w:lang w:eastAsia="en-ID"/>
              </w:rPr>
            </w:pPr>
          </w:p>
        </w:tc>
        <w:tc>
          <w:tcPr>
            <w:tcW w:w="1176" w:type="dxa"/>
            <w:tcBorders>
              <w:top w:val="single" w:sz="6" w:space="0" w:color="CCCCCC"/>
              <w:left w:val="single" w:sz="6" w:space="0" w:color="CCCCCC"/>
              <w:bottom w:val="single" w:sz="6" w:space="0" w:color="000000"/>
              <w:right w:val="single" w:sz="6" w:space="0" w:color="000000"/>
            </w:tcBorders>
            <w:shd w:val="clear" w:color="auto" w:fill="D9D9D9" w:themeFill="background1" w:themeFillShade="D9"/>
            <w:tcMar>
              <w:top w:w="0" w:type="dxa"/>
              <w:left w:w="45" w:type="dxa"/>
              <w:bottom w:w="0" w:type="dxa"/>
              <w:right w:w="45" w:type="dxa"/>
            </w:tcMar>
            <w:vAlign w:val="bottom"/>
            <w:hideMark/>
          </w:tcPr>
          <w:p w14:paraId="76D40DEC" w14:textId="77777777" w:rsidR="00B93489" w:rsidRPr="00D6168E" w:rsidRDefault="00B93489">
            <w:pPr>
              <w:spacing w:after="0" w:line="240" w:lineRule="auto"/>
              <w:jc w:val="center"/>
              <w:rPr>
                <w:rFonts w:ascii="Bookman Old Style" w:eastAsia="Times New Roman" w:hAnsi="Bookman Old Style" w:cs="Arial"/>
                <w:b/>
                <w:bCs/>
                <w:sz w:val="18"/>
                <w:szCs w:val="18"/>
                <w:lang w:eastAsia="en-ID"/>
              </w:rPr>
            </w:pPr>
            <w:r w:rsidRPr="00D6168E">
              <w:rPr>
                <w:rFonts w:ascii="Bookman Old Style" w:eastAsia="Times New Roman" w:hAnsi="Bookman Old Style" w:cs="Arial"/>
                <w:b/>
                <w:bCs/>
                <w:sz w:val="18"/>
                <w:szCs w:val="18"/>
                <w:lang w:eastAsia="en-ID"/>
              </w:rPr>
              <w:t>129</w:t>
            </w:r>
          </w:p>
        </w:tc>
      </w:tr>
    </w:tbl>
    <w:p w14:paraId="24A3526F" w14:textId="77777777" w:rsidR="00157C72" w:rsidRDefault="00157C72" w:rsidP="004C17BA">
      <w:pPr>
        <w:spacing w:after="0" w:line="276" w:lineRule="auto"/>
        <w:ind w:left="425"/>
        <w:rPr>
          <w:rFonts w:ascii="Bookman Old Style" w:hAnsi="Bookman Old Style"/>
          <w:sz w:val="22"/>
          <w:szCs w:val="22"/>
          <w:lang w:val="id-ID"/>
        </w:rPr>
      </w:pPr>
    </w:p>
    <w:p w14:paraId="1BD1F0B9" w14:textId="57A0CE55" w:rsidR="00157C72" w:rsidRPr="00D6168E" w:rsidRDefault="009914C9" w:rsidP="00D6168E">
      <w:pPr>
        <w:pStyle w:val="ListParagraph"/>
        <w:numPr>
          <w:ilvl w:val="6"/>
          <w:numId w:val="7"/>
        </w:numPr>
        <w:tabs>
          <w:tab w:val="clear" w:pos="5040"/>
          <w:tab w:val="num" w:pos="709"/>
        </w:tabs>
        <w:spacing w:after="120" w:line="276" w:lineRule="auto"/>
        <w:ind w:left="709" w:hanging="283"/>
        <w:jc w:val="both"/>
        <w:rPr>
          <w:rFonts w:ascii="Bookman Old Style" w:hAnsi="Bookman Old Style"/>
          <w:sz w:val="22"/>
          <w:szCs w:val="22"/>
          <w:lang w:val="id-ID"/>
        </w:rPr>
      </w:pPr>
      <w:r w:rsidRPr="009914C9">
        <w:rPr>
          <w:rFonts w:ascii="Bookman Old Style" w:hAnsi="Bookman Old Style"/>
          <w:sz w:val="22"/>
          <w:szCs w:val="22"/>
          <w:lang w:val="id-ID"/>
        </w:rPr>
        <w:lastRenderedPageBreak/>
        <w:t xml:space="preserve">Adapun modus terhadap perkara-perkara yang telah </w:t>
      </w:r>
      <w:r w:rsidRPr="00D6168E">
        <w:rPr>
          <w:rFonts w:ascii="Bookman Old Style" w:hAnsi="Bookman Old Style"/>
          <w:i/>
          <w:iCs/>
          <w:sz w:val="22"/>
          <w:szCs w:val="22"/>
          <w:lang w:val="id-ID"/>
        </w:rPr>
        <w:t>in kracht</w:t>
      </w:r>
      <w:r w:rsidRPr="009914C9">
        <w:rPr>
          <w:rFonts w:ascii="Bookman Old Style" w:hAnsi="Bookman Old Style"/>
          <w:sz w:val="22"/>
          <w:szCs w:val="22"/>
          <w:lang w:val="id-ID"/>
        </w:rPr>
        <w:t xml:space="preserve"> masih didominasi oleh tindak pidana perbankan yaitu pencatatan palsu dan tidak melaksanakan langkah-langkah untuk memastikan ketaatan bank terhadap ketentuan peraturan per</w:t>
      </w:r>
      <w:r>
        <w:rPr>
          <w:rFonts w:ascii="Bookman Old Style" w:hAnsi="Bookman Old Style"/>
          <w:sz w:val="22"/>
          <w:szCs w:val="22"/>
          <w:lang w:val="id-ID"/>
        </w:rPr>
        <w:t>undang-undangan. S</w:t>
      </w:r>
      <w:r w:rsidRPr="009914C9">
        <w:rPr>
          <w:rFonts w:ascii="Bookman Old Style" w:hAnsi="Bookman Old Style"/>
          <w:sz w:val="22"/>
          <w:szCs w:val="22"/>
          <w:lang w:val="id-ID"/>
        </w:rPr>
        <w:t>elain itu terdapat pula tindak pidana perasuransian terkait dengan penyampaian laporan secara berkala dan penggelapan polis</w:t>
      </w:r>
      <w:r w:rsidR="00CC4047">
        <w:rPr>
          <w:rFonts w:ascii="Bookman Old Style" w:hAnsi="Bookman Old Style"/>
          <w:sz w:val="22"/>
          <w:szCs w:val="22"/>
          <w:lang w:val="id-ID"/>
        </w:rPr>
        <w:t>,</w:t>
      </w:r>
      <w:r w:rsidRPr="009914C9">
        <w:rPr>
          <w:rFonts w:ascii="Bookman Old Style" w:hAnsi="Bookman Old Style"/>
          <w:sz w:val="22"/>
          <w:szCs w:val="22"/>
          <w:lang w:val="id-ID"/>
        </w:rPr>
        <w:t xml:space="preserve"> serta tindak pidana pasar modal terkait transaksi semu dan manipulasi pasar.</w:t>
      </w:r>
    </w:p>
    <w:p w14:paraId="2B58C9C9" w14:textId="521A4B2C" w:rsidR="00DB5475" w:rsidRPr="007F541B" w:rsidRDefault="00DB5475" w:rsidP="00DB5475">
      <w:pPr>
        <w:spacing w:after="120" w:line="276" w:lineRule="auto"/>
        <w:ind w:left="426"/>
        <w:jc w:val="center"/>
        <w:rPr>
          <w:rFonts w:ascii="Bookman Old Style" w:hAnsi="Bookman Old Style"/>
          <w:sz w:val="22"/>
          <w:szCs w:val="22"/>
          <w:lang w:val="id-ID"/>
        </w:rPr>
      </w:pPr>
      <w:r w:rsidRPr="007F541B">
        <w:rPr>
          <w:rFonts w:ascii="Bookman Old Style" w:hAnsi="Bookman Old Style"/>
          <w:sz w:val="22"/>
          <w:szCs w:val="22"/>
          <w:lang w:val="id-ID"/>
        </w:rPr>
        <w:t>***</w:t>
      </w:r>
    </w:p>
    <w:p w14:paraId="7C44D685" w14:textId="5532BF4F" w:rsidR="00172284" w:rsidRPr="007F541B" w:rsidRDefault="00DB5475" w:rsidP="00D6168E">
      <w:pPr>
        <w:spacing w:line="276" w:lineRule="auto"/>
        <w:jc w:val="both"/>
        <w:rPr>
          <w:rFonts w:ascii="Bookman Old Style" w:hAnsi="Bookman Old Style"/>
          <w:lang w:val="id-ID"/>
        </w:rPr>
      </w:pPr>
      <w:r w:rsidRPr="007F541B">
        <w:rPr>
          <w:rFonts w:ascii="Bookman Old Style" w:hAnsi="Bookman Old Style"/>
          <w:sz w:val="22"/>
          <w:szCs w:val="22"/>
          <w:lang w:val="id-ID"/>
        </w:rPr>
        <w:t xml:space="preserve">Informasi lebih lanjut:  Kepala Departemen Literasi, Inklusi Keuangan dan Komunikasi, M. Ismail Riyadi;  Telp. (021) 29600000; Email: </w:t>
      </w:r>
      <w:hyperlink r:id="rId20" w:history="1">
        <w:r w:rsidR="0091270C" w:rsidRPr="003D184E">
          <w:rPr>
            <w:rStyle w:val="Hyperlink"/>
            <w:rFonts w:ascii="Bookman Old Style" w:hAnsi="Bookman Old Style"/>
            <w:sz w:val="22"/>
            <w:szCs w:val="22"/>
            <w:lang w:val="id-ID"/>
          </w:rPr>
          <w:t>humas@ojk.go.id</w:t>
        </w:r>
      </w:hyperlink>
      <w:r w:rsidR="0091270C">
        <w:rPr>
          <w:rFonts w:ascii="Bookman Old Style" w:hAnsi="Bookman Old Style"/>
          <w:sz w:val="22"/>
          <w:szCs w:val="22"/>
          <w:lang w:val="id-ID"/>
        </w:rPr>
        <w:t xml:space="preserve"> </w:t>
      </w:r>
      <w:r w:rsidRPr="007F541B">
        <w:rPr>
          <w:rFonts w:ascii="Bookman Old Style" w:hAnsi="Bookman Old Style"/>
          <w:sz w:val="22"/>
          <w:szCs w:val="22"/>
          <w:lang w:val="id-ID"/>
        </w:rPr>
        <w:t> </w:t>
      </w:r>
    </w:p>
    <w:sectPr w:rsidR="00172284" w:rsidRPr="007F541B" w:rsidSect="00DB5475">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D0B2D" w14:textId="77777777" w:rsidR="00BE57F2" w:rsidRDefault="00BE57F2" w:rsidP="00DB5475">
      <w:pPr>
        <w:spacing w:after="0" w:line="240" w:lineRule="auto"/>
      </w:pPr>
      <w:r>
        <w:separator/>
      </w:r>
    </w:p>
  </w:endnote>
  <w:endnote w:type="continuationSeparator" w:id="0">
    <w:p w14:paraId="2818AE4B" w14:textId="77777777" w:rsidR="00BE57F2" w:rsidRDefault="00BE57F2" w:rsidP="00DB5475">
      <w:pPr>
        <w:spacing w:after="0" w:line="240" w:lineRule="auto"/>
      </w:pPr>
      <w:r>
        <w:continuationSeparator/>
      </w:r>
    </w:p>
  </w:endnote>
  <w:endnote w:type="continuationNotice" w:id="1">
    <w:p w14:paraId="09B571D3" w14:textId="77777777" w:rsidR="00BE57F2" w:rsidRDefault="00BE57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8929" w14:textId="77777777" w:rsidR="00176DC1" w:rsidRDefault="00176DC1">
    <w:pPr>
      <w:pStyle w:val="Footer"/>
    </w:pPr>
    <w:r>
      <w:rPr>
        <w:noProof/>
      </w:rPr>
      <mc:AlternateContent>
        <mc:Choice Requires="wps">
          <w:drawing>
            <wp:anchor distT="0" distB="0" distL="114300" distR="114300" simplePos="0" relativeHeight="251658241" behindDoc="0" locked="0" layoutInCell="1" allowOverlap="1" wp14:anchorId="3DEEFFB9" wp14:editId="70681759">
              <wp:simplePos x="0" y="0"/>
              <wp:positionH relativeFrom="column">
                <wp:posOffset>6240780</wp:posOffset>
              </wp:positionH>
              <wp:positionV relativeFrom="paragraph">
                <wp:posOffset>215265</wp:posOffset>
              </wp:positionV>
              <wp:extent cx="431075" cy="283029"/>
              <wp:effectExtent l="0" t="0" r="7620" b="3175"/>
              <wp:wrapNone/>
              <wp:docPr id="1402109990" name="Rectangle 1"/>
              <wp:cNvGraphicFramePr/>
              <a:graphic xmlns:a="http://schemas.openxmlformats.org/drawingml/2006/main">
                <a:graphicData uri="http://schemas.microsoft.com/office/word/2010/wordprocessingShape">
                  <wps:wsp>
                    <wps:cNvSpPr/>
                    <wps:spPr>
                      <a:xfrm>
                        <a:off x="0" y="0"/>
                        <a:ext cx="431075" cy="283029"/>
                      </a:xfrm>
                      <a:prstGeom prst="rect">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382755D" w14:textId="77777777" w:rsidR="00176DC1" w:rsidRDefault="00176DC1">
                          <w:pPr>
                            <w:jc w:val="center"/>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w:pict w14:anchorId="169CFD7B">
            <v:rect id="Rectangle 1" style="position:absolute;margin-left:491.4pt;margin-top:16.95pt;width:33.95pt;height:22.3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c00000" stroked="f" strokeweight="1pt" w14:anchorId="3DEEFF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">
              <v:textbox>
                <w:txbxContent>
                  <w:p w:rsidR="00176DC1" w:rsidRDefault="00176DC1" w14:paraId="3D3D22A9" w14:textId="77777777">
                    <w:pPr>
                      <w:jc w:val="center"/>
                    </w:pPr>
                    <w:r>
                      <w:fldChar w:fldCharType="begin"/>
                    </w:r>
                    <w:r>
                      <w:instrText xml:space="preserve"> PAGE   \* MERGEFORMAT </w:instrText>
                    </w:r>
                    <w:r>
                      <w:fldChar w:fldCharType="separate"/>
                    </w:r>
                    <w:r>
                      <w:rPr>
                        <w:noProof/>
                      </w:rPr>
                      <w:t>1</w:t>
                    </w:r>
                    <w:r>
                      <w:rPr>
                        <w:noProof/>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05DD2" w14:textId="77777777" w:rsidR="00BE57F2" w:rsidRDefault="00BE57F2" w:rsidP="00DB5475">
      <w:pPr>
        <w:spacing w:after="0" w:line="240" w:lineRule="auto"/>
      </w:pPr>
      <w:r>
        <w:separator/>
      </w:r>
    </w:p>
  </w:footnote>
  <w:footnote w:type="continuationSeparator" w:id="0">
    <w:p w14:paraId="387F588E" w14:textId="77777777" w:rsidR="00BE57F2" w:rsidRDefault="00BE57F2" w:rsidP="00DB5475">
      <w:pPr>
        <w:spacing w:after="0" w:line="240" w:lineRule="auto"/>
      </w:pPr>
      <w:r>
        <w:continuationSeparator/>
      </w:r>
    </w:p>
  </w:footnote>
  <w:footnote w:type="continuationNotice" w:id="1">
    <w:p w14:paraId="0C499FB5" w14:textId="77777777" w:rsidR="00BE57F2" w:rsidRDefault="00BE57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FFBB2" w14:textId="77777777" w:rsidR="00176DC1" w:rsidRDefault="00176DC1">
    <w:pPr>
      <w:pStyle w:val="Header"/>
    </w:pPr>
    <w:r w:rsidRPr="00EF4A37">
      <w:rPr>
        <w:noProof/>
      </w:rPr>
      <w:drawing>
        <wp:anchor distT="0" distB="0" distL="114300" distR="114300" simplePos="0" relativeHeight="251658240" behindDoc="0" locked="0" layoutInCell="1" allowOverlap="1" wp14:anchorId="20B21A67" wp14:editId="6BABA813">
          <wp:simplePos x="0" y="0"/>
          <wp:positionH relativeFrom="column">
            <wp:posOffset>-102870</wp:posOffset>
          </wp:positionH>
          <wp:positionV relativeFrom="paragraph">
            <wp:posOffset>-280035</wp:posOffset>
          </wp:positionV>
          <wp:extent cx="1852295" cy="681990"/>
          <wp:effectExtent l="0" t="0" r="0" b="3810"/>
          <wp:wrapNone/>
          <wp:docPr id="43823137" name="Picture 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2295" cy="681990"/>
                  </a:xfrm>
                  <a:prstGeom prst="rect">
                    <a:avLst/>
                  </a:prstGeom>
                  <a:noFill/>
                  <a:ln>
                    <a:noFill/>
                  </a:ln>
                </pic:spPr>
              </pic:pic>
            </a:graphicData>
          </a:graphic>
        </wp:anchor>
      </w:drawing>
    </w:r>
    <w:r w:rsidRPr="00EF4A37">
      <w:rPr>
        <w:noProof/>
      </w:rPr>
      <w:drawing>
        <wp:anchor distT="0" distB="0" distL="114300" distR="114300" simplePos="0" relativeHeight="251658242" behindDoc="0" locked="0" layoutInCell="1" allowOverlap="1" wp14:anchorId="335BC5C2" wp14:editId="62BE69D5">
          <wp:simplePos x="0" y="0"/>
          <wp:positionH relativeFrom="column">
            <wp:posOffset>-914400</wp:posOffset>
          </wp:positionH>
          <wp:positionV relativeFrom="paragraph">
            <wp:posOffset>-448310</wp:posOffset>
          </wp:positionV>
          <wp:extent cx="247650" cy="965200"/>
          <wp:effectExtent l="0" t="0" r="0" b="6350"/>
          <wp:wrapNone/>
          <wp:docPr id="115832642" name="Picture 2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Sha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650" cy="9652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97E"/>
    <w:multiLevelType w:val="hybridMultilevel"/>
    <w:tmpl w:val="C742BCC0"/>
    <w:lvl w:ilvl="0" w:tplc="3809000F">
      <w:start w:val="1"/>
      <w:numFmt w:val="decimal"/>
      <w:lvlText w:val="%1."/>
      <w:lvlJc w:val="left"/>
      <w:pPr>
        <w:ind w:left="1317" w:hanging="360"/>
      </w:pPr>
    </w:lvl>
    <w:lvl w:ilvl="1" w:tplc="38090019" w:tentative="1">
      <w:start w:val="1"/>
      <w:numFmt w:val="lowerLetter"/>
      <w:lvlText w:val="%2."/>
      <w:lvlJc w:val="left"/>
      <w:pPr>
        <w:ind w:left="2037" w:hanging="360"/>
      </w:pPr>
    </w:lvl>
    <w:lvl w:ilvl="2" w:tplc="3809001B" w:tentative="1">
      <w:start w:val="1"/>
      <w:numFmt w:val="lowerRoman"/>
      <w:lvlText w:val="%3."/>
      <w:lvlJc w:val="right"/>
      <w:pPr>
        <w:ind w:left="2757" w:hanging="180"/>
      </w:pPr>
    </w:lvl>
    <w:lvl w:ilvl="3" w:tplc="3809000F" w:tentative="1">
      <w:start w:val="1"/>
      <w:numFmt w:val="decimal"/>
      <w:lvlText w:val="%4."/>
      <w:lvlJc w:val="left"/>
      <w:pPr>
        <w:ind w:left="3477" w:hanging="360"/>
      </w:pPr>
    </w:lvl>
    <w:lvl w:ilvl="4" w:tplc="38090019">
      <w:start w:val="1"/>
      <w:numFmt w:val="lowerLetter"/>
      <w:lvlText w:val="%5."/>
      <w:lvlJc w:val="left"/>
      <w:pPr>
        <w:ind w:left="4197" w:hanging="360"/>
      </w:pPr>
    </w:lvl>
    <w:lvl w:ilvl="5" w:tplc="3809001B" w:tentative="1">
      <w:start w:val="1"/>
      <w:numFmt w:val="lowerRoman"/>
      <w:lvlText w:val="%6."/>
      <w:lvlJc w:val="right"/>
      <w:pPr>
        <w:ind w:left="4917" w:hanging="180"/>
      </w:pPr>
    </w:lvl>
    <w:lvl w:ilvl="6" w:tplc="3809000F" w:tentative="1">
      <w:start w:val="1"/>
      <w:numFmt w:val="decimal"/>
      <w:lvlText w:val="%7."/>
      <w:lvlJc w:val="left"/>
      <w:pPr>
        <w:ind w:left="5637" w:hanging="360"/>
      </w:pPr>
    </w:lvl>
    <w:lvl w:ilvl="7" w:tplc="38090019" w:tentative="1">
      <w:start w:val="1"/>
      <w:numFmt w:val="lowerLetter"/>
      <w:lvlText w:val="%8."/>
      <w:lvlJc w:val="left"/>
      <w:pPr>
        <w:ind w:left="6357" w:hanging="360"/>
      </w:pPr>
    </w:lvl>
    <w:lvl w:ilvl="8" w:tplc="3809001B" w:tentative="1">
      <w:start w:val="1"/>
      <w:numFmt w:val="lowerRoman"/>
      <w:lvlText w:val="%9."/>
      <w:lvlJc w:val="right"/>
      <w:pPr>
        <w:ind w:left="7077" w:hanging="180"/>
      </w:pPr>
    </w:lvl>
  </w:abstractNum>
  <w:abstractNum w:abstractNumId="1" w15:restartNumberingAfterBreak="0">
    <w:nsid w:val="053614D9"/>
    <w:multiLevelType w:val="hybridMultilevel"/>
    <w:tmpl w:val="F2DC6BB8"/>
    <w:lvl w:ilvl="0" w:tplc="D9088E46">
      <w:start w:val="1"/>
      <w:numFmt w:val="decimal"/>
      <w:lvlText w:val="%1."/>
      <w:lvlJc w:val="left"/>
      <w:pPr>
        <w:tabs>
          <w:tab w:val="num" w:pos="720"/>
        </w:tabs>
        <w:ind w:left="720" w:hanging="360"/>
      </w:pPr>
    </w:lvl>
    <w:lvl w:ilvl="1" w:tplc="B34A9F6C" w:tentative="1">
      <w:start w:val="1"/>
      <w:numFmt w:val="decimal"/>
      <w:lvlText w:val="%2."/>
      <w:lvlJc w:val="left"/>
      <w:pPr>
        <w:tabs>
          <w:tab w:val="num" w:pos="1440"/>
        </w:tabs>
        <w:ind w:left="1440" w:hanging="360"/>
      </w:pPr>
    </w:lvl>
    <w:lvl w:ilvl="2" w:tplc="A4664BA2" w:tentative="1">
      <w:start w:val="1"/>
      <w:numFmt w:val="decimal"/>
      <w:lvlText w:val="%3."/>
      <w:lvlJc w:val="left"/>
      <w:pPr>
        <w:tabs>
          <w:tab w:val="num" w:pos="2160"/>
        </w:tabs>
        <w:ind w:left="2160" w:hanging="360"/>
      </w:pPr>
    </w:lvl>
    <w:lvl w:ilvl="3" w:tplc="F84C4440" w:tentative="1">
      <w:start w:val="1"/>
      <w:numFmt w:val="decimal"/>
      <w:lvlText w:val="%4."/>
      <w:lvlJc w:val="left"/>
      <w:pPr>
        <w:tabs>
          <w:tab w:val="num" w:pos="2880"/>
        </w:tabs>
        <w:ind w:left="2880" w:hanging="360"/>
      </w:pPr>
    </w:lvl>
    <w:lvl w:ilvl="4" w:tplc="B93CDAFA" w:tentative="1">
      <w:start w:val="1"/>
      <w:numFmt w:val="decimal"/>
      <w:lvlText w:val="%5."/>
      <w:lvlJc w:val="left"/>
      <w:pPr>
        <w:tabs>
          <w:tab w:val="num" w:pos="3600"/>
        </w:tabs>
        <w:ind w:left="3600" w:hanging="360"/>
      </w:pPr>
    </w:lvl>
    <w:lvl w:ilvl="5" w:tplc="52260B10" w:tentative="1">
      <w:start w:val="1"/>
      <w:numFmt w:val="decimal"/>
      <w:lvlText w:val="%6."/>
      <w:lvlJc w:val="left"/>
      <w:pPr>
        <w:tabs>
          <w:tab w:val="num" w:pos="4320"/>
        </w:tabs>
        <w:ind w:left="4320" w:hanging="360"/>
      </w:pPr>
    </w:lvl>
    <w:lvl w:ilvl="6" w:tplc="A69E815C" w:tentative="1">
      <w:start w:val="1"/>
      <w:numFmt w:val="decimal"/>
      <w:lvlText w:val="%7."/>
      <w:lvlJc w:val="left"/>
      <w:pPr>
        <w:tabs>
          <w:tab w:val="num" w:pos="5040"/>
        </w:tabs>
        <w:ind w:left="5040" w:hanging="360"/>
      </w:pPr>
    </w:lvl>
    <w:lvl w:ilvl="7" w:tplc="0E6A7112" w:tentative="1">
      <w:start w:val="1"/>
      <w:numFmt w:val="decimal"/>
      <w:lvlText w:val="%8."/>
      <w:lvlJc w:val="left"/>
      <w:pPr>
        <w:tabs>
          <w:tab w:val="num" w:pos="5760"/>
        </w:tabs>
        <w:ind w:left="5760" w:hanging="360"/>
      </w:pPr>
    </w:lvl>
    <w:lvl w:ilvl="8" w:tplc="452AE180" w:tentative="1">
      <w:start w:val="1"/>
      <w:numFmt w:val="decimal"/>
      <w:lvlText w:val="%9."/>
      <w:lvlJc w:val="left"/>
      <w:pPr>
        <w:tabs>
          <w:tab w:val="num" w:pos="6480"/>
        </w:tabs>
        <w:ind w:left="6480" w:hanging="360"/>
      </w:pPr>
    </w:lvl>
  </w:abstractNum>
  <w:abstractNum w:abstractNumId="2" w15:restartNumberingAfterBreak="0">
    <w:nsid w:val="09F82140"/>
    <w:multiLevelType w:val="hybridMultilevel"/>
    <w:tmpl w:val="7778A962"/>
    <w:lvl w:ilvl="0" w:tplc="626AF71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BC41E50"/>
    <w:multiLevelType w:val="multilevel"/>
    <w:tmpl w:val="284EC3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4540C52"/>
    <w:multiLevelType w:val="hybridMultilevel"/>
    <w:tmpl w:val="FA7AC5D2"/>
    <w:lvl w:ilvl="0" w:tplc="BBD2FFC2">
      <w:start w:val="1"/>
      <w:numFmt w:val="decimal"/>
      <w:lvlText w:val="%1."/>
      <w:lvlJc w:val="left"/>
      <w:pPr>
        <w:ind w:left="1353" w:hanging="360"/>
      </w:pPr>
      <w:rPr>
        <w:rFonts w:hint="default"/>
        <w:color w:val="000000" w:themeColor="text1"/>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5" w15:restartNumberingAfterBreak="0">
    <w:nsid w:val="157276AC"/>
    <w:multiLevelType w:val="hybridMultilevel"/>
    <w:tmpl w:val="B8BEF712"/>
    <w:lvl w:ilvl="0" w:tplc="F892888A">
      <w:start w:val="1"/>
      <w:numFmt w:val="lowerLetter"/>
      <w:lvlText w:val="%1."/>
      <w:lvlJc w:val="left"/>
      <w:pPr>
        <w:ind w:left="1778" w:hanging="360"/>
      </w:pPr>
      <w:rPr>
        <w:rFonts w:ascii="Bookman Old Style" w:eastAsiaTheme="minorHAnsi" w:hAnsi="Bookman Old Style" w:cstheme="minorBidi"/>
      </w:rPr>
    </w:lvl>
    <w:lvl w:ilvl="1" w:tplc="38090019">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6" w15:restartNumberingAfterBreak="0">
    <w:nsid w:val="17B6643F"/>
    <w:multiLevelType w:val="hybridMultilevel"/>
    <w:tmpl w:val="36C8047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82B5A99"/>
    <w:multiLevelType w:val="hybridMultilevel"/>
    <w:tmpl w:val="E4645718"/>
    <w:lvl w:ilvl="0" w:tplc="9C46BBB8">
      <w:start w:val="1"/>
      <w:numFmt w:val="decimal"/>
      <w:lvlText w:val="%1."/>
      <w:lvlJc w:val="left"/>
      <w:pPr>
        <w:tabs>
          <w:tab w:val="num" w:pos="720"/>
        </w:tabs>
        <w:ind w:left="720" w:hanging="360"/>
      </w:pPr>
      <w:rPr>
        <w:rFonts w:ascii="Bookman Old Style" w:eastAsiaTheme="minorHAnsi" w:hAnsi="Bookman Old Style" w:cstheme="minorBidi"/>
      </w:rPr>
    </w:lvl>
    <w:lvl w:ilvl="1" w:tplc="9C760AC2" w:tentative="1">
      <w:start w:val="1"/>
      <w:numFmt w:val="lowerLetter"/>
      <w:lvlText w:val="%2."/>
      <w:lvlJc w:val="left"/>
      <w:pPr>
        <w:tabs>
          <w:tab w:val="num" w:pos="1440"/>
        </w:tabs>
        <w:ind w:left="1440" w:hanging="360"/>
      </w:pPr>
    </w:lvl>
    <w:lvl w:ilvl="2" w:tplc="2C58AC48" w:tentative="1">
      <w:start w:val="1"/>
      <w:numFmt w:val="lowerLetter"/>
      <w:lvlText w:val="%3."/>
      <w:lvlJc w:val="left"/>
      <w:pPr>
        <w:tabs>
          <w:tab w:val="num" w:pos="2160"/>
        </w:tabs>
        <w:ind w:left="2160" w:hanging="360"/>
      </w:pPr>
    </w:lvl>
    <w:lvl w:ilvl="3" w:tplc="CA1A0458" w:tentative="1">
      <w:start w:val="1"/>
      <w:numFmt w:val="lowerLetter"/>
      <w:lvlText w:val="%4."/>
      <w:lvlJc w:val="left"/>
      <w:pPr>
        <w:tabs>
          <w:tab w:val="num" w:pos="2880"/>
        </w:tabs>
        <w:ind w:left="2880" w:hanging="360"/>
      </w:pPr>
    </w:lvl>
    <w:lvl w:ilvl="4" w:tplc="27CC1322" w:tentative="1">
      <w:start w:val="1"/>
      <w:numFmt w:val="lowerLetter"/>
      <w:lvlText w:val="%5."/>
      <w:lvlJc w:val="left"/>
      <w:pPr>
        <w:tabs>
          <w:tab w:val="num" w:pos="3600"/>
        </w:tabs>
        <w:ind w:left="3600" w:hanging="360"/>
      </w:pPr>
    </w:lvl>
    <w:lvl w:ilvl="5" w:tplc="7FA8E560" w:tentative="1">
      <w:start w:val="1"/>
      <w:numFmt w:val="lowerLetter"/>
      <w:lvlText w:val="%6."/>
      <w:lvlJc w:val="left"/>
      <w:pPr>
        <w:tabs>
          <w:tab w:val="num" w:pos="4320"/>
        </w:tabs>
        <w:ind w:left="4320" w:hanging="360"/>
      </w:pPr>
    </w:lvl>
    <w:lvl w:ilvl="6" w:tplc="30E8C58C" w:tentative="1">
      <w:start w:val="1"/>
      <w:numFmt w:val="lowerLetter"/>
      <w:lvlText w:val="%7."/>
      <w:lvlJc w:val="left"/>
      <w:pPr>
        <w:tabs>
          <w:tab w:val="num" w:pos="5040"/>
        </w:tabs>
        <w:ind w:left="5040" w:hanging="360"/>
      </w:pPr>
    </w:lvl>
    <w:lvl w:ilvl="7" w:tplc="445283BE" w:tentative="1">
      <w:start w:val="1"/>
      <w:numFmt w:val="lowerLetter"/>
      <w:lvlText w:val="%8."/>
      <w:lvlJc w:val="left"/>
      <w:pPr>
        <w:tabs>
          <w:tab w:val="num" w:pos="5760"/>
        </w:tabs>
        <w:ind w:left="5760" w:hanging="360"/>
      </w:pPr>
    </w:lvl>
    <w:lvl w:ilvl="8" w:tplc="B7F01408" w:tentative="1">
      <w:start w:val="1"/>
      <w:numFmt w:val="lowerLetter"/>
      <w:lvlText w:val="%9."/>
      <w:lvlJc w:val="left"/>
      <w:pPr>
        <w:tabs>
          <w:tab w:val="num" w:pos="6480"/>
        </w:tabs>
        <w:ind w:left="6480" w:hanging="360"/>
      </w:pPr>
    </w:lvl>
  </w:abstractNum>
  <w:abstractNum w:abstractNumId="8" w15:restartNumberingAfterBreak="0">
    <w:nsid w:val="19797935"/>
    <w:multiLevelType w:val="hybridMultilevel"/>
    <w:tmpl w:val="70A4C910"/>
    <w:lvl w:ilvl="0" w:tplc="FFFFFFFF">
      <w:start w:val="1"/>
      <w:numFmt w:val="decimal"/>
      <w:lvlText w:val="%1)"/>
      <w:lvlJc w:val="left"/>
      <w:pPr>
        <w:ind w:left="720" w:hanging="360"/>
      </w:pPr>
      <w:rPr>
        <w:rFonts w:hint="default"/>
      </w:rPr>
    </w:lvl>
    <w:lvl w:ilvl="1" w:tplc="08FC293E">
      <w:start w:val="1"/>
      <w:numFmt w:val="decimal"/>
      <w:lvlText w:val="%2)"/>
      <w:lvlJc w:val="left"/>
      <w:pPr>
        <w:ind w:left="1440" w:hanging="360"/>
      </w:pPr>
      <w:rPr>
        <w:rFonts w:hint="default"/>
        <w:color w:val="000000" w:themeColor="text1"/>
      </w:rPr>
    </w:lvl>
    <w:lvl w:ilvl="2" w:tplc="38090011">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AE7DBD"/>
    <w:multiLevelType w:val="hybridMultilevel"/>
    <w:tmpl w:val="24C26A7A"/>
    <w:lvl w:ilvl="0" w:tplc="67C6AC52">
      <w:start w:val="1"/>
      <w:numFmt w:val="decimal"/>
      <w:lvlText w:val="%1."/>
      <w:lvlJc w:val="left"/>
      <w:pPr>
        <w:ind w:left="720" w:hanging="360"/>
      </w:pPr>
    </w:lvl>
    <w:lvl w:ilvl="1" w:tplc="677674A4">
      <w:start w:val="1"/>
      <w:numFmt w:val="decimal"/>
      <w:lvlText w:val="%2."/>
      <w:lvlJc w:val="left"/>
      <w:pPr>
        <w:ind w:left="720" w:hanging="360"/>
      </w:pPr>
    </w:lvl>
    <w:lvl w:ilvl="2" w:tplc="5BA2F102">
      <w:start w:val="1"/>
      <w:numFmt w:val="decimal"/>
      <w:lvlText w:val="%3."/>
      <w:lvlJc w:val="left"/>
      <w:pPr>
        <w:ind w:left="720" w:hanging="360"/>
      </w:pPr>
    </w:lvl>
    <w:lvl w:ilvl="3" w:tplc="740C8EB6">
      <w:start w:val="1"/>
      <w:numFmt w:val="decimal"/>
      <w:lvlText w:val="%4."/>
      <w:lvlJc w:val="left"/>
      <w:pPr>
        <w:ind w:left="720" w:hanging="360"/>
      </w:pPr>
    </w:lvl>
    <w:lvl w:ilvl="4" w:tplc="3E50DADE">
      <w:start w:val="1"/>
      <w:numFmt w:val="decimal"/>
      <w:lvlText w:val="%5."/>
      <w:lvlJc w:val="left"/>
      <w:pPr>
        <w:ind w:left="720" w:hanging="360"/>
      </w:pPr>
    </w:lvl>
    <w:lvl w:ilvl="5" w:tplc="1CEA917A">
      <w:start w:val="1"/>
      <w:numFmt w:val="decimal"/>
      <w:lvlText w:val="%6."/>
      <w:lvlJc w:val="left"/>
      <w:pPr>
        <w:ind w:left="720" w:hanging="360"/>
      </w:pPr>
    </w:lvl>
    <w:lvl w:ilvl="6" w:tplc="605AB77E">
      <w:start w:val="1"/>
      <w:numFmt w:val="decimal"/>
      <w:lvlText w:val="%7."/>
      <w:lvlJc w:val="left"/>
      <w:pPr>
        <w:ind w:left="720" w:hanging="360"/>
      </w:pPr>
    </w:lvl>
    <w:lvl w:ilvl="7" w:tplc="CFCAFA9E">
      <w:start w:val="1"/>
      <w:numFmt w:val="decimal"/>
      <w:lvlText w:val="%8."/>
      <w:lvlJc w:val="left"/>
      <w:pPr>
        <w:ind w:left="720" w:hanging="360"/>
      </w:pPr>
    </w:lvl>
    <w:lvl w:ilvl="8" w:tplc="3720194E">
      <w:start w:val="1"/>
      <w:numFmt w:val="decimal"/>
      <w:lvlText w:val="%9."/>
      <w:lvlJc w:val="left"/>
      <w:pPr>
        <w:ind w:left="720" w:hanging="360"/>
      </w:pPr>
    </w:lvl>
  </w:abstractNum>
  <w:abstractNum w:abstractNumId="10" w15:restartNumberingAfterBreak="0">
    <w:nsid w:val="29722809"/>
    <w:multiLevelType w:val="hybridMultilevel"/>
    <w:tmpl w:val="3EA0F614"/>
    <w:lvl w:ilvl="0" w:tplc="A1F4896C">
      <w:start w:val="1"/>
      <w:numFmt w:val="decimal"/>
      <w:lvlText w:val="%1."/>
      <w:lvlJc w:val="left"/>
      <w:pPr>
        <w:tabs>
          <w:tab w:val="num" w:pos="1800"/>
        </w:tabs>
        <w:ind w:left="180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C1B40BD"/>
    <w:multiLevelType w:val="hybridMultilevel"/>
    <w:tmpl w:val="C1C8CC06"/>
    <w:lvl w:ilvl="0" w:tplc="7A64CFF4">
      <w:start w:val="1"/>
      <w:numFmt w:val="lowerLetter"/>
      <w:lvlText w:val="%1."/>
      <w:lvlJc w:val="left"/>
      <w:pPr>
        <w:tabs>
          <w:tab w:val="num" w:pos="720"/>
        </w:tabs>
        <w:ind w:left="720" w:hanging="360"/>
      </w:pPr>
    </w:lvl>
    <w:lvl w:ilvl="1" w:tplc="6668246C" w:tentative="1">
      <w:start w:val="1"/>
      <w:numFmt w:val="lowerLetter"/>
      <w:lvlText w:val="%2."/>
      <w:lvlJc w:val="left"/>
      <w:pPr>
        <w:tabs>
          <w:tab w:val="num" w:pos="1440"/>
        </w:tabs>
        <w:ind w:left="1440" w:hanging="360"/>
      </w:pPr>
    </w:lvl>
    <w:lvl w:ilvl="2" w:tplc="AE6E5714" w:tentative="1">
      <w:start w:val="1"/>
      <w:numFmt w:val="lowerLetter"/>
      <w:lvlText w:val="%3."/>
      <w:lvlJc w:val="left"/>
      <w:pPr>
        <w:tabs>
          <w:tab w:val="num" w:pos="2160"/>
        </w:tabs>
        <w:ind w:left="2160" w:hanging="360"/>
      </w:pPr>
    </w:lvl>
    <w:lvl w:ilvl="3" w:tplc="006A4998" w:tentative="1">
      <w:start w:val="1"/>
      <w:numFmt w:val="lowerLetter"/>
      <w:lvlText w:val="%4."/>
      <w:lvlJc w:val="left"/>
      <w:pPr>
        <w:tabs>
          <w:tab w:val="num" w:pos="2880"/>
        </w:tabs>
        <w:ind w:left="2880" w:hanging="360"/>
      </w:pPr>
    </w:lvl>
    <w:lvl w:ilvl="4" w:tplc="BCFA7008" w:tentative="1">
      <w:start w:val="1"/>
      <w:numFmt w:val="lowerLetter"/>
      <w:lvlText w:val="%5."/>
      <w:lvlJc w:val="left"/>
      <w:pPr>
        <w:tabs>
          <w:tab w:val="num" w:pos="3600"/>
        </w:tabs>
        <w:ind w:left="3600" w:hanging="360"/>
      </w:pPr>
    </w:lvl>
    <w:lvl w:ilvl="5" w:tplc="6CC2E0F4" w:tentative="1">
      <w:start w:val="1"/>
      <w:numFmt w:val="lowerLetter"/>
      <w:lvlText w:val="%6."/>
      <w:lvlJc w:val="left"/>
      <w:pPr>
        <w:tabs>
          <w:tab w:val="num" w:pos="4320"/>
        </w:tabs>
        <w:ind w:left="4320" w:hanging="360"/>
      </w:pPr>
    </w:lvl>
    <w:lvl w:ilvl="6" w:tplc="990CC73E" w:tentative="1">
      <w:start w:val="1"/>
      <w:numFmt w:val="lowerLetter"/>
      <w:lvlText w:val="%7."/>
      <w:lvlJc w:val="left"/>
      <w:pPr>
        <w:tabs>
          <w:tab w:val="num" w:pos="5040"/>
        </w:tabs>
        <w:ind w:left="5040" w:hanging="360"/>
      </w:pPr>
    </w:lvl>
    <w:lvl w:ilvl="7" w:tplc="0ECAB148" w:tentative="1">
      <w:start w:val="1"/>
      <w:numFmt w:val="lowerLetter"/>
      <w:lvlText w:val="%8."/>
      <w:lvlJc w:val="left"/>
      <w:pPr>
        <w:tabs>
          <w:tab w:val="num" w:pos="5760"/>
        </w:tabs>
        <w:ind w:left="5760" w:hanging="360"/>
      </w:pPr>
    </w:lvl>
    <w:lvl w:ilvl="8" w:tplc="CB201F1E" w:tentative="1">
      <w:start w:val="1"/>
      <w:numFmt w:val="lowerLetter"/>
      <w:lvlText w:val="%9."/>
      <w:lvlJc w:val="left"/>
      <w:pPr>
        <w:tabs>
          <w:tab w:val="num" w:pos="6480"/>
        </w:tabs>
        <w:ind w:left="6480" w:hanging="360"/>
      </w:pPr>
    </w:lvl>
  </w:abstractNum>
  <w:abstractNum w:abstractNumId="12" w15:restartNumberingAfterBreak="0">
    <w:nsid w:val="2CB02421"/>
    <w:multiLevelType w:val="multilevel"/>
    <w:tmpl w:val="967A6656"/>
    <w:lvl w:ilvl="0">
      <w:start w:val="6"/>
      <w:numFmt w:val="decimal"/>
      <w:lvlText w:val="%1."/>
      <w:lvlJc w:val="left"/>
      <w:pPr>
        <w:tabs>
          <w:tab w:val="num" w:pos="720"/>
        </w:tabs>
        <w:ind w:left="720" w:hanging="360"/>
      </w:pPr>
      <w:rPr>
        <w:rFonts w:hint="default"/>
      </w:rPr>
    </w:lvl>
    <w:lvl w:ilvl="1">
      <w:start w:val="1"/>
      <w:numFmt w:val="decimal"/>
      <w:lvlText w:val="%2&gt;"/>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2"/>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2D956603"/>
    <w:multiLevelType w:val="hybridMultilevel"/>
    <w:tmpl w:val="48F41884"/>
    <w:lvl w:ilvl="0" w:tplc="38090019">
      <w:start w:val="1"/>
      <w:numFmt w:val="lowerLetter"/>
      <w:lvlText w:val="%1."/>
      <w:lvlJc w:val="left"/>
      <w:pPr>
        <w:ind w:left="597" w:hanging="428"/>
      </w:pPr>
      <w:rPr>
        <w:rFonts w:hint="default"/>
        <w:b w:val="0"/>
        <w:bCs w:val="0"/>
        <w:i w:val="0"/>
        <w:iCs w:val="0"/>
        <w:spacing w:val="-1"/>
        <w:w w:val="130"/>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E801E1F"/>
    <w:multiLevelType w:val="hybridMultilevel"/>
    <w:tmpl w:val="4A76EDB6"/>
    <w:lvl w:ilvl="0" w:tplc="86E0D10E">
      <w:start w:val="1"/>
      <w:numFmt w:val="decimal"/>
      <w:lvlText w:val="%1."/>
      <w:lvlJc w:val="left"/>
      <w:pPr>
        <w:tabs>
          <w:tab w:val="num" w:pos="720"/>
        </w:tabs>
        <w:ind w:left="720" w:hanging="360"/>
      </w:pPr>
    </w:lvl>
    <w:lvl w:ilvl="1" w:tplc="B6C2BBFE" w:tentative="1">
      <w:start w:val="1"/>
      <w:numFmt w:val="decimal"/>
      <w:lvlText w:val="%2."/>
      <w:lvlJc w:val="left"/>
      <w:pPr>
        <w:tabs>
          <w:tab w:val="num" w:pos="1440"/>
        </w:tabs>
        <w:ind w:left="1440" w:hanging="360"/>
      </w:pPr>
    </w:lvl>
    <w:lvl w:ilvl="2" w:tplc="85FEC6BE" w:tentative="1">
      <w:start w:val="1"/>
      <w:numFmt w:val="decimal"/>
      <w:lvlText w:val="%3."/>
      <w:lvlJc w:val="left"/>
      <w:pPr>
        <w:tabs>
          <w:tab w:val="num" w:pos="2160"/>
        </w:tabs>
        <w:ind w:left="2160" w:hanging="360"/>
      </w:pPr>
    </w:lvl>
    <w:lvl w:ilvl="3" w:tplc="FD22B39C" w:tentative="1">
      <w:start w:val="1"/>
      <w:numFmt w:val="decimal"/>
      <w:lvlText w:val="%4."/>
      <w:lvlJc w:val="left"/>
      <w:pPr>
        <w:tabs>
          <w:tab w:val="num" w:pos="2880"/>
        </w:tabs>
        <w:ind w:left="2880" w:hanging="360"/>
      </w:pPr>
    </w:lvl>
    <w:lvl w:ilvl="4" w:tplc="EF58C9BC" w:tentative="1">
      <w:start w:val="1"/>
      <w:numFmt w:val="decimal"/>
      <w:lvlText w:val="%5."/>
      <w:lvlJc w:val="left"/>
      <w:pPr>
        <w:tabs>
          <w:tab w:val="num" w:pos="3600"/>
        </w:tabs>
        <w:ind w:left="3600" w:hanging="360"/>
      </w:pPr>
    </w:lvl>
    <w:lvl w:ilvl="5" w:tplc="ECFC270A" w:tentative="1">
      <w:start w:val="1"/>
      <w:numFmt w:val="decimal"/>
      <w:lvlText w:val="%6."/>
      <w:lvlJc w:val="left"/>
      <w:pPr>
        <w:tabs>
          <w:tab w:val="num" w:pos="4320"/>
        </w:tabs>
        <w:ind w:left="4320" w:hanging="360"/>
      </w:pPr>
    </w:lvl>
    <w:lvl w:ilvl="6" w:tplc="BBD2FFC2">
      <w:start w:val="1"/>
      <w:numFmt w:val="decimal"/>
      <w:lvlText w:val="%7."/>
      <w:lvlJc w:val="left"/>
      <w:pPr>
        <w:ind w:left="5040" w:hanging="360"/>
      </w:pPr>
      <w:rPr>
        <w:rFonts w:hint="default"/>
        <w:color w:val="000000" w:themeColor="text1"/>
      </w:rPr>
    </w:lvl>
    <w:lvl w:ilvl="7" w:tplc="511C0FFC" w:tentative="1">
      <w:start w:val="1"/>
      <w:numFmt w:val="decimal"/>
      <w:lvlText w:val="%8."/>
      <w:lvlJc w:val="left"/>
      <w:pPr>
        <w:tabs>
          <w:tab w:val="num" w:pos="5760"/>
        </w:tabs>
        <w:ind w:left="5760" w:hanging="360"/>
      </w:pPr>
    </w:lvl>
    <w:lvl w:ilvl="8" w:tplc="B69E38AA" w:tentative="1">
      <w:start w:val="1"/>
      <w:numFmt w:val="decimal"/>
      <w:lvlText w:val="%9."/>
      <w:lvlJc w:val="left"/>
      <w:pPr>
        <w:tabs>
          <w:tab w:val="num" w:pos="6480"/>
        </w:tabs>
        <w:ind w:left="6480" w:hanging="360"/>
      </w:pPr>
    </w:lvl>
  </w:abstractNum>
  <w:abstractNum w:abstractNumId="15" w15:restartNumberingAfterBreak="0">
    <w:nsid w:val="316066B3"/>
    <w:multiLevelType w:val="multilevel"/>
    <w:tmpl w:val="83062170"/>
    <w:lvl w:ilvl="0">
      <w:start w:val="1"/>
      <w:numFmt w:val="decimal"/>
      <w:lvlText w:val="%1."/>
      <w:lvlJc w:val="left"/>
      <w:pPr>
        <w:tabs>
          <w:tab w:val="num" w:pos="720"/>
        </w:tabs>
        <w:ind w:left="720" w:hanging="360"/>
      </w:pPr>
      <w:rPr>
        <w:rFonts w:ascii="Bookman Old Style" w:hAnsi="Bookman Old Style" w:hint="default"/>
        <w:sz w:val="22"/>
        <w:szCs w:val="22"/>
      </w:rPr>
    </w:lvl>
    <w:lvl w:ilvl="1">
      <w:numFmt w:val="bullet"/>
      <w:lvlText w:val=""/>
      <w:lvlJc w:val="left"/>
      <w:pPr>
        <w:ind w:left="1440" w:hanging="360"/>
      </w:pPr>
      <w:rPr>
        <w:rFonts w:ascii="Wingdings" w:eastAsiaTheme="minorHAnsi" w:hAnsi="Wingdings"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8B267B"/>
    <w:multiLevelType w:val="hybridMultilevel"/>
    <w:tmpl w:val="C44E79B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8E9746F"/>
    <w:multiLevelType w:val="hybridMultilevel"/>
    <w:tmpl w:val="40707004"/>
    <w:lvl w:ilvl="0" w:tplc="B4B899E8">
      <w:start w:val="1"/>
      <w:numFmt w:val="decimal"/>
      <w:lvlText w:val="%1."/>
      <w:lvlJc w:val="left"/>
      <w:pPr>
        <w:tabs>
          <w:tab w:val="num" w:pos="720"/>
        </w:tabs>
        <w:ind w:left="720" w:hanging="360"/>
      </w:pPr>
    </w:lvl>
    <w:lvl w:ilvl="1" w:tplc="D38C1AEA" w:tentative="1">
      <w:start w:val="1"/>
      <w:numFmt w:val="decimal"/>
      <w:lvlText w:val="%2."/>
      <w:lvlJc w:val="left"/>
      <w:pPr>
        <w:tabs>
          <w:tab w:val="num" w:pos="1440"/>
        </w:tabs>
        <w:ind w:left="1440" w:hanging="360"/>
      </w:pPr>
    </w:lvl>
    <w:lvl w:ilvl="2" w:tplc="ECB21F12" w:tentative="1">
      <w:start w:val="1"/>
      <w:numFmt w:val="decimal"/>
      <w:lvlText w:val="%3."/>
      <w:lvlJc w:val="left"/>
      <w:pPr>
        <w:tabs>
          <w:tab w:val="num" w:pos="2160"/>
        </w:tabs>
        <w:ind w:left="2160" w:hanging="360"/>
      </w:pPr>
    </w:lvl>
    <w:lvl w:ilvl="3" w:tplc="5A02987A" w:tentative="1">
      <w:start w:val="1"/>
      <w:numFmt w:val="decimal"/>
      <w:lvlText w:val="%4."/>
      <w:lvlJc w:val="left"/>
      <w:pPr>
        <w:tabs>
          <w:tab w:val="num" w:pos="2880"/>
        </w:tabs>
        <w:ind w:left="2880" w:hanging="360"/>
      </w:pPr>
    </w:lvl>
    <w:lvl w:ilvl="4" w:tplc="F6C8D726" w:tentative="1">
      <w:start w:val="1"/>
      <w:numFmt w:val="decimal"/>
      <w:lvlText w:val="%5."/>
      <w:lvlJc w:val="left"/>
      <w:pPr>
        <w:tabs>
          <w:tab w:val="num" w:pos="3600"/>
        </w:tabs>
        <w:ind w:left="3600" w:hanging="360"/>
      </w:pPr>
    </w:lvl>
    <w:lvl w:ilvl="5" w:tplc="5E30EE02" w:tentative="1">
      <w:start w:val="1"/>
      <w:numFmt w:val="decimal"/>
      <w:lvlText w:val="%6."/>
      <w:lvlJc w:val="left"/>
      <w:pPr>
        <w:tabs>
          <w:tab w:val="num" w:pos="4320"/>
        </w:tabs>
        <w:ind w:left="4320" w:hanging="360"/>
      </w:pPr>
    </w:lvl>
    <w:lvl w:ilvl="6" w:tplc="6548DDFA" w:tentative="1">
      <w:start w:val="1"/>
      <w:numFmt w:val="decimal"/>
      <w:lvlText w:val="%7."/>
      <w:lvlJc w:val="left"/>
      <w:pPr>
        <w:tabs>
          <w:tab w:val="num" w:pos="5040"/>
        </w:tabs>
        <w:ind w:left="5040" w:hanging="360"/>
      </w:pPr>
    </w:lvl>
    <w:lvl w:ilvl="7" w:tplc="3FFC1DD2" w:tentative="1">
      <w:start w:val="1"/>
      <w:numFmt w:val="decimal"/>
      <w:lvlText w:val="%8."/>
      <w:lvlJc w:val="left"/>
      <w:pPr>
        <w:tabs>
          <w:tab w:val="num" w:pos="5760"/>
        </w:tabs>
        <w:ind w:left="5760" w:hanging="360"/>
      </w:pPr>
    </w:lvl>
    <w:lvl w:ilvl="8" w:tplc="7794E520" w:tentative="1">
      <w:start w:val="1"/>
      <w:numFmt w:val="decimal"/>
      <w:lvlText w:val="%9."/>
      <w:lvlJc w:val="left"/>
      <w:pPr>
        <w:tabs>
          <w:tab w:val="num" w:pos="6480"/>
        </w:tabs>
        <w:ind w:left="6480" w:hanging="360"/>
      </w:pPr>
    </w:lvl>
  </w:abstractNum>
  <w:abstractNum w:abstractNumId="18" w15:restartNumberingAfterBreak="0">
    <w:nsid w:val="3BCF3E1E"/>
    <w:multiLevelType w:val="hybridMultilevel"/>
    <w:tmpl w:val="7C7E8DF6"/>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9" w15:restartNumberingAfterBreak="0">
    <w:nsid w:val="3C4BA13B"/>
    <w:multiLevelType w:val="hybridMultilevel"/>
    <w:tmpl w:val="836649A6"/>
    <w:lvl w:ilvl="0" w:tplc="F7203A7E">
      <w:start w:val="4"/>
      <w:numFmt w:val="upperLetter"/>
      <w:lvlText w:val="%1."/>
      <w:lvlJc w:val="left"/>
      <w:pPr>
        <w:ind w:left="450" w:hanging="360"/>
      </w:pPr>
    </w:lvl>
    <w:lvl w:ilvl="1" w:tplc="6AFA77DA">
      <w:start w:val="1"/>
      <w:numFmt w:val="lowerLetter"/>
      <w:lvlText w:val="%2."/>
      <w:lvlJc w:val="left"/>
      <w:pPr>
        <w:ind w:left="1170" w:hanging="360"/>
      </w:pPr>
    </w:lvl>
    <w:lvl w:ilvl="2" w:tplc="7C705082">
      <w:start w:val="1"/>
      <w:numFmt w:val="lowerRoman"/>
      <w:lvlText w:val="%3."/>
      <w:lvlJc w:val="right"/>
      <w:pPr>
        <w:ind w:left="1890" w:hanging="180"/>
      </w:pPr>
    </w:lvl>
    <w:lvl w:ilvl="3" w:tplc="F6BAC0B8">
      <w:start w:val="1"/>
      <w:numFmt w:val="decimal"/>
      <w:lvlText w:val="%4."/>
      <w:lvlJc w:val="left"/>
      <w:pPr>
        <w:ind w:left="2610" w:hanging="360"/>
      </w:pPr>
    </w:lvl>
    <w:lvl w:ilvl="4" w:tplc="E52077A4">
      <w:start w:val="1"/>
      <w:numFmt w:val="lowerLetter"/>
      <w:lvlText w:val="%5."/>
      <w:lvlJc w:val="left"/>
      <w:pPr>
        <w:ind w:left="3330" w:hanging="360"/>
      </w:pPr>
    </w:lvl>
    <w:lvl w:ilvl="5" w:tplc="67EEAB7C">
      <w:start w:val="1"/>
      <w:numFmt w:val="lowerRoman"/>
      <w:lvlText w:val="%6."/>
      <w:lvlJc w:val="right"/>
      <w:pPr>
        <w:ind w:left="4050" w:hanging="180"/>
      </w:pPr>
    </w:lvl>
    <w:lvl w:ilvl="6" w:tplc="565A4010">
      <w:start w:val="1"/>
      <w:numFmt w:val="decimal"/>
      <w:lvlText w:val="%7."/>
      <w:lvlJc w:val="left"/>
      <w:pPr>
        <w:ind w:left="4770" w:hanging="360"/>
      </w:pPr>
    </w:lvl>
    <w:lvl w:ilvl="7" w:tplc="05B2BB64">
      <w:start w:val="1"/>
      <w:numFmt w:val="lowerLetter"/>
      <w:lvlText w:val="%8."/>
      <w:lvlJc w:val="left"/>
      <w:pPr>
        <w:ind w:left="5490" w:hanging="360"/>
      </w:pPr>
    </w:lvl>
    <w:lvl w:ilvl="8" w:tplc="8690BCCA">
      <w:start w:val="1"/>
      <w:numFmt w:val="lowerRoman"/>
      <w:lvlText w:val="%9."/>
      <w:lvlJc w:val="right"/>
      <w:pPr>
        <w:ind w:left="6210" w:hanging="180"/>
      </w:pPr>
    </w:lvl>
  </w:abstractNum>
  <w:abstractNum w:abstractNumId="20" w15:restartNumberingAfterBreak="0">
    <w:nsid w:val="44523CA3"/>
    <w:multiLevelType w:val="multilevel"/>
    <w:tmpl w:val="9B5C921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1" w15:restartNumberingAfterBreak="0">
    <w:nsid w:val="49D10ECB"/>
    <w:multiLevelType w:val="hybridMultilevel"/>
    <w:tmpl w:val="57BEA1BE"/>
    <w:lvl w:ilvl="0" w:tplc="08FC293E">
      <w:start w:val="1"/>
      <w:numFmt w:val="decimal"/>
      <w:lvlText w:val="%1)"/>
      <w:lvlJc w:val="left"/>
      <w:pPr>
        <w:ind w:left="529" w:hanging="360"/>
      </w:pPr>
      <w:rPr>
        <w:rFonts w:hint="default"/>
        <w:color w:val="000000" w:themeColor="text1"/>
      </w:rPr>
    </w:lvl>
    <w:lvl w:ilvl="1" w:tplc="38090019" w:tentative="1">
      <w:start w:val="1"/>
      <w:numFmt w:val="lowerLetter"/>
      <w:lvlText w:val="%2."/>
      <w:lvlJc w:val="left"/>
      <w:pPr>
        <w:ind w:left="529" w:hanging="360"/>
      </w:pPr>
    </w:lvl>
    <w:lvl w:ilvl="2" w:tplc="3809001B" w:tentative="1">
      <w:start w:val="1"/>
      <w:numFmt w:val="lowerRoman"/>
      <w:lvlText w:val="%3."/>
      <w:lvlJc w:val="right"/>
      <w:pPr>
        <w:ind w:left="1249" w:hanging="180"/>
      </w:pPr>
    </w:lvl>
    <w:lvl w:ilvl="3" w:tplc="3809000F" w:tentative="1">
      <w:start w:val="1"/>
      <w:numFmt w:val="decimal"/>
      <w:lvlText w:val="%4."/>
      <w:lvlJc w:val="left"/>
      <w:pPr>
        <w:ind w:left="1969" w:hanging="360"/>
      </w:pPr>
    </w:lvl>
    <w:lvl w:ilvl="4" w:tplc="38090019" w:tentative="1">
      <w:start w:val="1"/>
      <w:numFmt w:val="lowerLetter"/>
      <w:lvlText w:val="%5."/>
      <w:lvlJc w:val="left"/>
      <w:pPr>
        <w:ind w:left="2689" w:hanging="360"/>
      </w:pPr>
    </w:lvl>
    <w:lvl w:ilvl="5" w:tplc="3809001B" w:tentative="1">
      <w:start w:val="1"/>
      <w:numFmt w:val="lowerRoman"/>
      <w:lvlText w:val="%6."/>
      <w:lvlJc w:val="right"/>
      <w:pPr>
        <w:ind w:left="3409" w:hanging="180"/>
      </w:pPr>
    </w:lvl>
    <w:lvl w:ilvl="6" w:tplc="3809000F" w:tentative="1">
      <w:start w:val="1"/>
      <w:numFmt w:val="decimal"/>
      <w:lvlText w:val="%7."/>
      <w:lvlJc w:val="left"/>
      <w:pPr>
        <w:ind w:left="4129" w:hanging="360"/>
      </w:pPr>
    </w:lvl>
    <w:lvl w:ilvl="7" w:tplc="38090019" w:tentative="1">
      <w:start w:val="1"/>
      <w:numFmt w:val="lowerLetter"/>
      <w:lvlText w:val="%8."/>
      <w:lvlJc w:val="left"/>
      <w:pPr>
        <w:ind w:left="4849" w:hanging="360"/>
      </w:pPr>
    </w:lvl>
    <w:lvl w:ilvl="8" w:tplc="3809001B" w:tentative="1">
      <w:start w:val="1"/>
      <w:numFmt w:val="lowerRoman"/>
      <w:lvlText w:val="%9."/>
      <w:lvlJc w:val="right"/>
      <w:pPr>
        <w:ind w:left="5569" w:hanging="180"/>
      </w:pPr>
    </w:lvl>
  </w:abstractNum>
  <w:abstractNum w:abstractNumId="22" w15:restartNumberingAfterBreak="0">
    <w:nsid w:val="52F53A11"/>
    <w:multiLevelType w:val="hybridMultilevel"/>
    <w:tmpl w:val="E184448E"/>
    <w:lvl w:ilvl="0" w:tplc="765E67AA">
      <w:start w:val="1"/>
      <w:numFmt w:val="lowerLetter"/>
      <w:lvlText w:val="%1."/>
      <w:lvlJc w:val="left"/>
      <w:pPr>
        <w:tabs>
          <w:tab w:val="num" w:pos="720"/>
        </w:tabs>
        <w:ind w:left="720" w:hanging="360"/>
      </w:pPr>
    </w:lvl>
    <w:lvl w:ilvl="1" w:tplc="54E41582" w:tentative="1">
      <w:start w:val="1"/>
      <w:numFmt w:val="lowerLetter"/>
      <w:lvlText w:val="%2."/>
      <w:lvlJc w:val="left"/>
      <w:pPr>
        <w:tabs>
          <w:tab w:val="num" w:pos="1440"/>
        </w:tabs>
        <w:ind w:left="1440" w:hanging="360"/>
      </w:pPr>
    </w:lvl>
    <w:lvl w:ilvl="2" w:tplc="6B66A5E0" w:tentative="1">
      <w:start w:val="1"/>
      <w:numFmt w:val="lowerLetter"/>
      <w:lvlText w:val="%3."/>
      <w:lvlJc w:val="left"/>
      <w:pPr>
        <w:tabs>
          <w:tab w:val="num" w:pos="2160"/>
        </w:tabs>
        <w:ind w:left="2160" w:hanging="360"/>
      </w:pPr>
    </w:lvl>
    <w:lvl w:ilvl="3" w:tplc="2DE4CA00" w:tentative="1">
      <w:start w:val="1"/>
      <w:numFmt w:val="lowerLetter"/>
      <w:lvlText w:val="%4."/>
      <w:lvlJc w:val="left"/>
      <w:pPr>
        <w:tabs>
          <w:tab w:val="num" w:pos="2880"/>
        </w:tabs>
        <w:ind w:left="2880" w:hanging="360"/>
      </w:pPr>
    </w:lvl>
    <w:lvl w:ilvl="4" w:tplc="F9585BCA" w:tentative="1">
      <w:start w:val="1"/>
      <w:numFmt w:val="lowerLetter"/>
      <w:lvlText w:val="%5."/>
      <w:lvlJc w:val="left"/>
      <w:pPr>
        <w:tabs>
          <w:tab w:val="num" w:pos="3600"/>
        </w:tabs>
        <w:ind w:left="3600" w:hanging="360"/>
      </w:pPr>
    </w:lvl>
    <w:lvl w:ilvl="5" w:tplc="D77686C8" w:tentative="1">
      <w:start w:val="1"/>
      <w:numFmt w:val="lowerLetter"/>
      <w:lvlText w:val="%6."/>
      <w:lvlJc w:val="left"/>
      <w:pPr>
        <w:tabs>
          <w:tab w:val="num" w:pos="4320"/>
        </w:tabs>
        <w:ind w:left="4320" w:hanging="360"/>
      </w:pPr>
    </w:lvl>
    <w:lvl w:ilvl="6" w:tplc="1DD6F724" w:tentative="1">
      <w:start w:val="1"/>
      <w:numFmt w:val="lowerLetter"/>
      <w:lvlText w:val="%7."/>
      <w:lvlJc w:val="left"/>
      <w:pPr>
        <w:tabs>
          <w:tab w:val="num" w:pos="5040"/>
        </w:tabs>
        <w:ind w:left="5040" w:hanging="360"/>
      </w:pPr>
    </w:lvl>
    <w:lvl w:ilvl="7" w:tplc="B306888E" w:tentative="1">
      <w:start w:val="1"/>
      <w:numFmt w:val="lowerLetter"/>
      <w:lvlText w:val="%8."/>
      <w:lvlJc w:val="left"/>
      <w:pPr>
        <w:tabs>
          <w:tab w:val="num" w:pos="5760"/>
        </w:tabs>
        <w:ind w:left="5760" w:hanging="360"/>
      </w:pPr>
    </w:lvl>
    <w:lvl w:ilvl="8" w:tplc="4DC263AC" w:tentative="1">
      <w:start w:val="1"/>
      <w:numFmt w:val="lowerLetter"/>
      <w:lvlText w:val="%9."/>
      <w:lvlJc w:val="left"/>
      <w:pPr>
        <w:tabs>
          <w:tab w:val="num" w:pos="6480"/>
        </w:tabs>
        <w:ind w:left="6480" w:hanging="360"/>
      </w:pPr>
    </w:lvl>
  </w:abstractNum>
  <w:abstractNum w:abstractNumId="23" w15:restartNumberingAfterBreak="0">
    <w:nsid w:val="570C31F1"/>
    <w:multiLevelType w:val="multilevel"/>
    <w:tmpl w:val="3E8CFDA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7D37F91"/>
    <w:multiLevelType w:val="hybridMultilevel"/>
    <w:tmpl w:val="57C24A5C"/>
    <w:lvl w:ilvl="0" w:tplc="25FA6152">
      <w:start w:val="1"/>
      <w:numFmt w:val="lowerLetter"/>
      <w:lvlText w:val="%1."/>
      <w:lvlJc w:val="left"/>
      <w:pPr>
        <w:tabs>
          <w:tab w:val="num" w:pos="720"/>
        </w:tabs>
        <w:ind w:left="720" w:hanging="360"/>
      </w:pPr>
    </w:lvl>
    <w:lvl w:ilvl="1" w:tplc="E722996A" w:tentative="1">
      <w:start w:val="1"/>
      <w:numFmt w:val="lowerLetter"/>
      <w:lvlText w:val="%2."/>
      <w:lvlJc w:val="left"/>
      <w:pPr>
        <w:tabs>
          <w:tab w:val="num" w:pos="1440"/>
        </w:tabs>
        <w:ind w:left="1440" w:hanging="360"/>
      </w:pPr>
    </w:lvl>
    <w:lvl w:ilvl="2" w:tplc="16E6C60E" w:tentative="1">
      <w:start w:val="1"/>
      <w:numFmt w:val="lowerLetter"/>
      <w:lvlText w:val="%3."/>
      <w:lvlJc w:val="left"/>
      <w:pPr>
        <w:tabs>
          <w:tab w:val="num" w:pos="2160"/>
        </w:tabs>
        <w:ind w:left="2160" w:hanging="360"/>
      </w:pPr>
    </w:lvl>
    <w:lvl w:ilvl="3" w:tplc="790897CE" w:tentative="1">
      <w:start w:val="1"/>
      <w:numFmt w:val="lowerLetter"/>
      <w:lvlText w:val="%4."/>
      <w:lvlJc w:val="left"/>
      <w:pPr>
        <w:tabs>
          <w:tab w:val="num" w:pos="2880"/>
        </w:tabs>
        <w:ind w:left="2880" w:hanging="360"/>
      </w:pPr>
    </w:lvl>
    <w:lvl w:ilvl="4" w:tplc="37F04B2E" w:tentative="1">
      <w:start w:val="1"/>
      <w:numFmt w:val="lowerLetter"/>
      <w:lvlText w:val="%5."/>
      <w:lvlJc w:val="left"/>
      <w:pPr>
        <w:tabs>
          <w:tab w:val="num" w:pos="3600"/>
        </w:tabs>
        <w:ind w:left="3600" w:hanging="360"/>
      </w:pPr>
    </w:lvl>
    <w:lvl w:ilvl="5" w:tplc="84649858" w:tentative="1">
      <w:start w:val="1"/>
      <w:numFmt w:val="lowerLetter"/>
      <w:lvlText w:val="%6."/>
      <w:lvlJc w:val="left"/>
      <w:pPr>
        <w:tabs>
          <w:tab w:val="num" w:pos="4320"/>
        </w:tabs>
        <w:ind w:left="4320" w:hanging="360"/>
      </w:pPr>
    </w:lvl>
    <w:lvl w:ilvl="6" w:tplc="CE123EC6" w:tentative="1">
      <w:start w:val="1"/>
      <w:numFmt w:val="lowerLetter"/>
      <w:lvlText w:val="%7."/>
      <w:lvlJc w:val="left"/>
      <w:pPr>
        <w:tabs>
          <w:tab w:val="num" w:pos="5040"/>
        </w:tabs>
        <w:ind w:left="5040" w:hanging="360"/>
      </w:pPr>
    </w:lvl>
    <w:lvl w:ilvl="7" w:tplc="C540B218" w:tentative="1">
      <w:start w:val="1"/>
      <w:numFmt w:val="lowerLetter"/>
      <w:lvlText w:val="%8."/>
      <w:lvlJc w:val="left"/>
      <w:pPr>
        <w:tabs>
          <w:tab w:val="num" w:pos="5760"/>
        </w:tabs>
        <w:ind w:left="5760" w:hanging="360"/>
      </w:pPr>
    </w:lvl>
    <w:lvl w:ilvl="8" w:tplc="BE14AD5C" w:tentative="1">
      <w:start w:val="1"/>
      <w:numFmt w:val="lowerLetter"/>
      <w:lvlText w:val="%9."/>
      <w:lvlJc w:val="left"/>
      <w:pPr>
        <w:tabs>
          <w:tab w:val="num" w:pos="6480"/>
        </w:tabs>
        <w:ind w:left="6480" w:hanging="360"/>
      </w:pPr>
    </w:lvl>
  </w:abstractNum>
  <w:abstractNum w:abstractNumId="25" w15:restartNumberingAfterBreak="0">
    <w:nsid w:val="5A2B68A2"/>
    <w:multiLevelType w:val="multilevel"/>
    <w:tmpl w:val="2124BCDA"/>
    <w:lvl w:ilvl="0">
      <w:start w:val="1"/>
      <w:numFmt w:val="lowerLetter"/>
      <w:lvlText w:val="%1."/>
      <w:lvlJc w:val="left"/>
      <w:pPr>
        <w:tabs>
          <w:tab w:val="num" w:pos="720"/>
        </w:tabs>
        <w:ind w:left="720" w:hanging="360"/>
      </w:pPr>
      <w:rPr>
        <w:rFonts w:ascii="Bookman Old Style" w:eastAsiaTheme="minorHAnsi" w:hAnsi="Bookman Old Style" w:cstheme="minorBidi"/>
      </w:rPr>
    </w:lvl>
    <w:lvl w:ilvl="1">
      <w:start w:val="1"/>
      <w:numFmt w:val="decimal"/>
      <w:lvlText w:val="%2."/>
      <w:lvlJc w:val="left"/>
      <w:pPr>
        <w:ind w:left="1440" w:hanging="360"/>
      </w:pPr>
      <w:rPr>
        <w:rFonts w:hint="default"/>
        <w:b w:val="0"/>
        <w:bCs/>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DB07A4F"/>
    <w:multiLevelType w:val="hybridMultilevel"/>
    <w:tmpl w:val="EEB056E4"/>
    <w:lvl w:ilvl="0" w:tplc="C3FE6B7C">
      <w:start w:val="1"/>
      <w:numFmt w:val="lowerLetter"/>
      <w:lvlText w:val="%1."/>
      <w:lvlJc w:val="left"/>
      <w:pPr>
        <w:tabs>
          <w:tab w:val="num" w:pos="720"/>
        </w:tabs>
        <w:ind w:left="720" w:hanging="360"/>
      </w:pPr>
    </w:lvl>
    <w:lvl w:ilvl="1" w:tplc="08D051E2" w:tentative="1">
      <w:start w:val="1"/>
      <w:numFmt w:val="lowerLetter"/>
      <w:lvlText w:val="%2."/>
      <w:lvlJc w:val="left"/>
      <w:pPr>
        <w:tabs>
          <w:tab w:val="num" w:pos="1440"/>
        </w:tabs>
        <w:ind w:left="1440" w:hanging="360"/>
      </w:pPr>
    </w:lvl>
    <w:lvl w:ilvl="2" w:tplc="BE02F224" w:tentative="1">
      <w:start w:val="1"/>
      <w:numFmt w:val="lowerLetter"/>
      <w:lvlText w:val="%3."/>
      <w:lvlJc w:val="left"/>
      <w:pPr>
        <w:tabs>
          <w:tab w:val="num" w:pos="2160"/>
        </w:tabs>
        <w:ind w:left="2160" w:hanging="360"/>
      </w:pPr>
    </w:lvl>
    <w:lvl w:ilvl="3" w:tplc="10F86414" w:tentative="1">
      <w:start w:val="1"/>
      <w:numFmt w:val="lowerLetter"/>
      <w:lvlText w:val="%4."/>
      <w:lvlJc w:val="left"/>
      <w:pPr>
        <w:tabs>
          <w:tab w:val="num" w:pos="2880"/>
        </w:tabs>
        <w:ind w:left="2880" w:hanging="360"/>
      </w:pPr>
    </w:lvl>
    <w:lvl w:ilvl="4" w:tplc="D326D180" w:tentative="1">
      <w:start w:val="1"/>
      <w:numFmt w:val="lowerLetter"/>
      <w:lvlText w:val="%5."/>
      <w:lvlJc w:val="left"/>
      <w:pPr>
        <w:tabs>
          <w:tab w:val="num" w:pos="3600"/>
        </w:tabs>
        <w:ind w:left="3600" w:hanging="360"/>
      </w:pPr>
    </w:lvl>
    <w:lvl w:ilvl="5" w:tplc="D33E8C4E" w:tentative="1">
      <w:start w:val="1"/>
      <w:numFmt w:val="lowerLetter"/>
      <w:lvlText w:val="%6."/>
      <w:lvlJc w:val="left"/>
      <w:pPr>
        <w:tabs>
          <w:tab w:val="num" w:pos="4320"/>
        </w:tabs>
        <w:ind w:left="4320" w:hanging="360"/>
      </w:pPr>
    </w:lvl>
    <w:lvl w:ilvl="6" w:tplc="0054D1E6" w:tentative="1">
      <w:start w:val="1"/>
      <w:numFmt w:val="lowerLetter"/>
      <w:lvlText w:val="%7."/>
      <w:lvlJc w:val="left"/>
      <w:pPr>
        <w:tabs>
          <w:tab w:val="num" w:pos="5040"/>
        </w:tabs>
        <w:ind w:left="5040" w:hanging="360"/>
      </w:pPr>
    </w:lvl>
    <w:lvl w:ilvl="7" w:tplc="10586B32" w:tentative="1">
      <w:start w:val="1"/>
      <w:numFmt w:val="lowerLetter"/>
      <w:lvlText w:val="%8."/>
      <w:lvlJc w:val="left"/>
      <w:pPr>
        <w:tabs>
          <w:tab w:val="num" w:pos="5760"/>
        </w:tabs>
        <w:ind w:left="5760" w:hanging="360"/>
      </w:pPr>
    </w:lvl>
    <w:lvl w:ilvl="8" w:tplc="EFBECFF0" w:tentative="1">
      <w:start w:val="1"/>
      <w:numFmt w:val="lowerLetter"/>
      <w:lvlText w:val="%9."/>
      <w:lvlJc w:val="left"/>
      <w:pPr>
        <w:tabs>
          <w:tab w:val="num" w:pos="6480"/>
        </w:tabs>
        <w:ind w:left="6480" w:hanging="360"/>
      </w:pPr>
    </w:lvl>
  </w:abstractNum>
  <w:abstractNum w:abstractNumId="27" w15:restartNumberingAfterBreak="0">
    <w:nsid w:val="600C03EF"/>
    <w:multiLevelType w:val="multilevel"/>
    <w:tmpl w:val="F9CA8658"/>
    <w:lvl w:ilvl="0">
      <w:start w:val="1"/>
      <w:numFmt w:val="decimal"/>
      <w:lvlText w:val="%1."/>
      <w:lvlJc w:val="left"/>
      <w:pPr>
        <w:tabs>
          <w:tab w:val="num" w:pos="3196"/>
        </w:tabs>
        <w:ind w:left="3196" w:hanging="360"/>
      </w:pPr>
      <w:rPr>
        <w:b w:val="0"/>
        <w:bCs w:val="0"/>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1C3B11"/>
    <w:multiLevelType w:val="hybridMultilevel"/>
    <w:tmpl w:val="9F60C81C"/>
    <w:lvl w:ilvl="0" w:tplc="8DC2EE08">
      <w:start w:val="1"/>
      <w:numFmt w:val="decimal"/>
      <w:lvlText w:val="%1."/>
      <w:lvlJc w:val="left"/>
      <w:pPr>
        <w:ind w:left="644" w:hanging="360"/>
      </w:pPr>
      <w:rPr>
        <w:rFonts w:ascii="Bookman Old Style" w:eastAsiaTheme="minorHAnsi" w:hAnsi="Bookman Old Style" w:cstheme="minorBidi"/>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9" w15:restartNumberingAfterBreak="0">
    <w:nsid w:val="616C2EA7"/>
    <w:multiLevelType w:val="multilevel"/>
    <w:tmpl w:val="08B0931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B8E6912"/>
    <w:multiLevelType w:val="multilevel"/>
    <w:tmpl w:val="4CD605CA"/>
    <w:lvl w:ilvl="0">
      <w:start w:val="1"/>
      <w:numFmt w:val="decimal"/>
      <w:lvlText w:val="%1."/>
      <w:lvlJc w:val="left"/>
      <w:pPr>
        <w:tabs>
          <w:tab w:val="num" w:pos="2912"/>
        </w:tabs>
        <w:ind w:left="2912" w:hanging="360"/>
      </w:pPr>
      <w:rPr>
        <w:b w:val="0"/>
        <w:bCs w:val="0"/>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9D4CAA"/>
    <w:multiLevelType w:val="multilevel"/>
    <w:tmpl w:val="3944542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start w:val="1"/>
      <w:numFmt w:val="decimal"/>
      <w:lvlText w:val="%7."/>
      <w:lvlJc w:val="left"/>
      <w:pPr>
        <w:tabs>
          <w:tab w:val="num" w:pos="5040"/>
        </w:tabs>
        <w:ind w:left="5040" w:hanging="360"/>
      </w:pPr>
      <w:rPr>
        <w:rFonts w:ascii="Bookman Old Style" w:eastAsiaTheme="minorHAnsi" w:hAnsi="Bookman Old Style" w:cstheme="minorBidi"/>
        <w:color w:val="000000" w:themeColor="text1"/>
      </w:r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2" w15:restartNumberingAfterBreak="0">
    <w:nsid w:val="6F265D93"/>
    <w:multiLevelType w:val="multilevel"/>
    <w:tmpl w:val="31C25A42"/>
    <w:lvl w:ilvl="0">
      <w:start w:val="10"/>
      <w:numFmt w:val="decimal"/>
      <w:lvlText w:val="%1."/>
      <w:lvlJc w:val="left"/>
      <w:pPr>
        <w:tabs>
          <w:tab w:val="num" w:pos="3196"/>
        </w:tabs>
        <w:ind w:left="3196" w:hanging="360"/>
      </w:pPr>
      <w:rPr>
        <w:rFonts w:hint="default"/>
        <w:b w:val="0"/>
        <w:b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71C56380"/>
    <w:multiLevelType w:val="hybridMultilevel"/>
    <w:tmpl w:val="0686B0F6"/>
    <w:lvl w:ilvl="0" w:tplc="40EAE4F2">
      <w:start w:val="1"/>
      <w:numFmt w:val="decimal"/>
      <w:lvlText w:val="%1."/>
      <w:lvlJc w:val="left"/>
      <w:pPr>
        <w:ind w:left="597" w:hanging="428"/>
      </w:pPr>
      <w:rPr>
        <w:rFonts w:ascii="Cambria" w:eastAsia="Cambria" w:hAnsi="Cambria" w:cs="Cambria" w:hint="default"/>
        <w:b w:val="0"/>
        <w:bCs w:val="0"/>
        <w:i w:val="0"/>
        <w:iCs w:val="0"/>
        <w:spacing w:val="-1"/>
        <w:w w:val="124"/>
        <w:sz w:val="22"/>
        <w:szCs w:val="22"/>
        <w:lang w:val="id" w:eastAsia="en-US" w:bidi="ar-SA"/>
      </w:rPr>
    </w:lvl>
    <w:lvl w:ilvl="1" w:tplc="B88A1EF2">
      <w:start w:val="1"/>
      <w:numFmt w:val="lowerLetter"/>
      <w:lvlText w:val="%2."/>
      <w:lvlJc w:val="left"/>
      <w:pPr>
        <w:ind w:left="597" w:hanging="428"/>
      </w:pPr>
      <w:rPr>
        <w:rFonts w:ascii="Cambria" w:eastAsia="Cambria" w:hAnsi="Cambria" w:cs="Cambria" w:hint="default"/>
        <w:b w:val="0"/>
        <w:bCs w:val="0"/>
        <w:i w:val="0"/>
        <w:iCs w:val="0"/>
        <w:spacing w:val="-1"/>
        <w:w w:val="130"/>
        <w:sz w:val="22"/>
        <w:szCs w:val="22"/>
        <w:lang w:val="id" w:eastAsia="en-US" w:bidi="ar-SA"/>
      </w:rPr>
    </w:lvl>
    <w:lvl w:ilvl="2" w:tplc="B23AF5DC">
      <w:start w:val="1"/>
      <w:numFmt w:val="upperLetter"/>
      <w:lvlText w:val="%3."/>
      <w:lvlJc w:val="left"/>
      <w:pPr>
        <w:ind w:left="592" w:hanging="428"/>
      </w:pPr>
      <w:rPr>
        <w:rFonts w:ascii="Cambria" w:eastAsia="Cambria" w:hAnsi="Cambria" w:cs="Cambria" w:hint="default"/>
        <w:b w:val="0"/>
        <w:bCs w:val="0"/>
        <w:i w:val="0"/>
        <w:iCs w:val="0"/>
        <w:spacing w:val="0"/>
        <w:w w:val="121"/>
        <w:sz w:val="22"/>
        <w:szCs w:val="22"/>
        <w:lang w:val="id" w:eastAsia="en-US" w:bidi="ar-SA"/>
      </w:rPr>
    </w:lvl>
    <w:lvl w:ilvl="3" w:tplc="BAF4AC28">
      <w:start w:val="1"/>
      <w:numFmt w:val="decimal"/>
      <w:lvlText w:val="%4."/>
      <w:lvlJc w:val="left"/>
      <w:pPr>
        <w:ind w:left="1017" w:hanging="425"/>
      </w:pPr>
      <w:rPr>
        <w:rFonts w:ascii="Cambria" w:eastAsia="Cambria" w:hAnsi="Cambria" w:cs="Cambria" w:hint="default"/>
        <w:b w:val="0"/>
        <w:bCs w:val="0"/>
        <w:i w:val="0"/>
        <w:iCs w:val="0"/>
        <w:spacing w:val="-1"/>
        <w:w w:val="124"/>
        <w:sz w:val="22"/>
        <w:szCs w:val="22"/>
        <w:lang w:val="id" w:eastAsia="en-US" w:bidi="ar-SA"/>
      </w:rPr>
    </w:lvl>
    <w:lvl w:ilvl="4" w:tplc="1512CECA">
      <w:start w:val="1"/>
      <w:numFmt w:val="lowerLetter"/>
      <w:lvlText w:val="%5."/>
      <w:lvlJc w:val="left"/>
      <w:pPr>
        <w:ind w:left="1298" w:hanging="425"/>
      </w:pPr>
      <w:rPr>
        <w:rFonts w:hint="default"/>
        <w:spacing w:val="-1"/>
        <w:w w:val="130"/>
        <w:lang w:val="id" w:eastAsia="en-US" w:bidi="ar-SA"/>
      </w:rPr>
    </w:lvl>
    <w:lvl w:ilvl="5" w:tplc="B42C9A48">
      <w:start w:val="1"/>
      <w:numFmt w:val="decimal"/>
      <w:lvlText w:val="%6)"/>
      <w:lvlJc w:val="left"/>
      <w:pPr>
        <w:ind w:left="1867" w:hanging="425"/>
      </w:pPr>
      <w:rPr>
        <w:rFonts w:ascii="Cambria" w:eastAsia="Cambria" w:hAnsi="Cambria" w:cs="Cambria" w:hint="default"/>
        <w:b w:val="0"/>
        <w:bCs w:val="0"/>
        <w:i w:val="0"/>
        <w:iCs w:val="0"/>
        <w:spacing w:val="-1"/>
        <w:w w:val="98"/>
        <w:sz w:val="22"/>
        <w:szCs w:val="22"/>
        <w:lang w:val="id" w:eastAsia="en-US" w:bidi="ar-SA"/>
      </w:rPr>
    </w:lvl>
    <w:lvl w:ilvl="6" w:tplc="3514C3DA">
      <w:numFmt w:val="bullet"/>
      <w:lvlText w:val="•"/>
      <w:lvlJc w:val="left"/>
      <w:pPr>
        <w:ind w:left="3359" w:hanging="425"/>
      </w:pPr>
      <w:rPr>
        <w:rFonts w:hint="default"/>
        <w:lang w:val="id" w:eastAsia="en-US" w:bidi="ar-SA"/>
      </w:rPr>
    </w:lvl>
    <w:lvl w:ilvl="7" w:tplc="2FBA6290">
      <w:numFmt w:val="bullet"/>
      <w:lvlText w:val="•"/>
      <w:lvlJc w:val="left"/>
      <w:pPr>
        <w:ind w:left="4858" w:hanging="425"/>
      </w:pPr>
      <w:rPr>
        <w:rFonts w:hint="default"/>
        <w:lang w:val="id" w:eastAsia="en-US" w:bidi="ar-SA"/>
      </w:rPr>
    </w:lvl>
    <w:lvl w:ilvl="8" w:tplc="A914090E">
      <w:numFmt w:val="bullet"/>
      <w:lvlText w:val="•"/>
      <w:lvlJc w:val="left"/>
      <w:pPr>
        <w:ind w:left="6357" w:hanging="425"/>
      </w:pPr>
      <w:rPr>
        <w:rFonts w:hint="default"/>
        <w:lang w:val="id" w:eastAsia="en-US" w:bidi="ar-SA"/>
      </w:rPr>
    </w:lvl>
  </w:abstractNum>
  <w:abstractNum w:abstractNumId="34" w15:restartNumberingAfterBreak="0">
    <w:nsid w:val="730F4782"/>
    <w:multiLevelType w:val="hybridMultilevel"/>
    <w:tmpl w:val="1D661286"/>
    <w:lvl w:ilvl="0" w:tplc="FB98C35C">
      <w:start w:val="1"/>
      <w:numFmt w:val="decimal"/>
      <w:lvlText w:val="%1."/>
      <w:lvlJc w:val="left"/>
      <w:pPr>
        <w:ind w:left="720" w:hanging="360"/>
      </w:pPr>
    </w:lvl>
    <w:lvl w:ilvl="1" w:tplc="3426DC56">
      <w:start w:val="1"/>
      <w:numFmt w:val="decimal"/>
      <w:lvlText w:val="%2."/>
      <w:lvlJc w:val="left"/>
      <w:pPr>
        <w:ind w:left="720" w:hanging="360"/>
      </w:pPr>
    </w:lvl>
    <w:lvl w:ilvl="2" w:tplc="71ECC946">
      <w:start w:val="1"/>
      <w:numFmt w:val="decimal"/>
      <w:lvlText w:val="%3."/>
      <w:lvlJc w:val="left"/>
      <w:pPr>
        <w:ind w:left="720" w:hanging="360"/>
      </w:pPr>
    </w:lvl>
    <w:lvl w:ilvl="3" w:tplc="0AA83FB6">
      <w:start w:val="1"/>
      <w:numFmt w:val="decimal"/>
      <w:lvlText w:val="%4."/>
      <w:lvlJc w:val="left"/>
      <w:pPr>
        <w:ind w:left="720" w:hanging="360"/>
      </w:pPr>
    </w:lvl>
    <w:lvl w:ilvl="4" w:tplc="AC7ED5F8">
      <w:start w:val="1"/>
      <w:numFmt w:val="decimal"/>
      <w:lvlText w:val="%5."/>
      <w:lvlJc w:val="left"/>
      <w:pPr>
        <w:ind w:left="720" w:hanging="360"/>
      </w:pPr>
    </w:lvl>
    <w:lvl w:ilvl="5" w:tplc="2F006D56">
      <w:start w:val="1"/>
      <w:numFmt w:val="decimal"/>
      <w:lvlText w:val="%6."/>
      <w:lvlJc w:val="left"/>
      <w:pPr>
        <w:ind w:left="720" w:hanging="360"/>
      </w:pPr>
    </w:lvl>
    <w:lvl w:ilvl="6" w:tplc="F05ECCE4">
      <w:start w:val="1"/>
      <w:numFmt w:val="decimal"/>
      <w:lvlText w:val="%7."/>
      <w:lvlJc w:val="left"/>
      <w:pPr>
        <w:ind w:left="720" w:hanging="360"/>
      </w:pPr>
    </w:lvl>
    <w:lvl w:ilvl="7" w:tplc="02F263F0">
      <w:start w:val="1"/>
      <w:numFmt w:val="decimal"/>
      <w:lvlText w:val="%8."/>
      <w:lvlJc w:val="left"/>
      <w:pPr>
        <w:ind w:left="720" w:hanging="360"/>
      </w:pPr>
    </w:lvl>
    <w:lvl w:ilvl="8" w:tplc="75B0828C">
      <w:start w:val="1"/>
      <w:numFmt w:val="decimal"/>
      <w:lvlText w:val="%9."/>
      <w:lvlJc w:val="left"/>
      <w:pPr>
        <w:ind w:left="720" w:hanging="360"/>
      </w:pPr>
    </w:lvl>
  </w:abstractNum>
  <w:abstractNum w:abstractNumId="35" w15:restartNumberingAfterBreak="0">
    <w:nsid w:val="73723C1B"/>
    <w:multiLevelType w:val="multilevel"/>
    <w:tmpl w:val="295E4982"/>
    <w:lvl w:ilvl="0">
      <w:start w:val="2"/>
      <w:numFmt w:val="decimal"/>
      <w:lvlText w:val="%1."/>
      <w:lvlJc w:val="left"/>
      <w:pPr>
        <w:tabs>
          <w:tab w:val="num" w:pos="2912"/>
        </w:tabs>
        <w:ind w:left="2912" w:hanging="360"/>
      </w:pPr>
      <w:rPr>
        <w:rFonts w:hint="default"/>
        <w:b w:val="0"/>
        <w:bCs w:val="0"/>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73915AE6"/>
    <w:multiLevelType w:val="hybridMultilevel"/>
    <w:tmpl w:val="C9429A40"/>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7" w15:restartNumberingAfterBreak="0">
    <w:nsid w:val="76016335"/>
    <w:multiLevelType w:val="hybridMultilevel"/>
    <w:tmpl w:val="68481D2A"/>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8" w15:restartNumberingAfterBreak="0">
    <w:nsid w:val="767E0B17"/>
    <w:multiLevelType w:val="multilevel"/>
    <w:tmpl w:val="DB6A03F8"/>
    <w:lvl w:ilvl="0">
      <w:start w:val="1"/>
      <w:numFmt w:val="decimal"/>
      <w:lvlText w:val="%1."/>
      <w:lvlJc w:val="left"/>
      <w:pPr>
        <w:tabs>
          <w:tab w:val="num" w:pos="720"/>
        </w:tabs>
        <w:ind w:left="720" w:hanging="360"/>
      </w:pPr>
    </w:lvl>
    <w:lvl w:ilvl="1">
      <w:start w:val="1"/>
      <w:numFmt w:val="decimal"/>
      <w:lvlText w:val="%2&gt;"/>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color w:val="000000" w:themeColor="text1"/>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FF389B"/>
    <w:multiLevelType w:val="hybridMultilevel"/>
    <w:tmpl w:val="B3F08EDE"/>
    <w:lvl w:ilvl="0" w:tplc="762874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CC60230"/>
    <w:multiLevelType w:val="hybridMultilevel"/>
    <w:tmpl w:val="09F09C86"/>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D3352E5"/>
    <w:multiLevelType w:val="hybridMultilevel"/>
    <w:tmpl w:val="A3405E66"/>
    <w:lvl w:ilvl="0" w:tplc="0D7ED624">
      <w:start w:val="1"/>
      <w:numFmt w:val="decimal"/>
      <w:lvlText w:val="%1."/>
      <w:lvlJc w:val="left"/>
      <w:pPr>
        <w:tabs>
          <w:tab w:val="num" w:pos="720"/>
        </w:tabs>
        <w:ind w:left="720" w:hanging="360"/>
      </w:pPr>
    </w:lvl>
    <w:lvl w:ilvl="1" w:tplc="D2267A74" w:tentative="1">
      <w:start w:val="1"/>
      <w:numFmt w:val="decimal"/>
      <w:lvlText w:val="%2."/>
      <w:lvlJc w:val="left"/>
      <w:pPr>
        <w:tabs>
          <w:tab w:val="num" w:pos="1440"/>
        </w:tabs>
        <w:ind w:left="1440" w:hanging="360"/>
      </w:pPr>
    </w:lvl>
    <w:lvl w:ilvl="2" w:tplc="43F8040E" w:tentative="1">
      <w:start w:val="1"/>
      <w:numFmt w:val="decimal"/>
      <w:lvlText w:val="%3."/>
      <w:lvlJc w:val="left"/>
      <w:pPr>
        <w:tabs>
          <w:tab w:val="num" w:pos="2160"/>
        </w:tabs>
        <w:ind w:left="2160" w:hanging="360"/>
      </w:pPr>
    </w:lvl>
    <w:lvl w:ilvl="3" w:tplc="E5E88A7E" w:tentative="1">
      <w:start w:val="1"/>
      <w:numFmt w:val="decimal"/>
      <w:lvlText w:val="%4."/>
      <w:lvlJc w:val="left"/>
      <w:pPr>
        <w:tabs>
          <w:tab w:val="num" w:pos="2880"/>
        </w:tabs>
        <w:ind w:left="2880" w:hanging="360"/>
      </w:pPr>
    </w:lvl>
    <w:lvl w:ilvl="4" w:tplc="AEDE14C8" w:tentative="1">
      <w:start w:val="1"/>
      <w:numFmt w:val="decimal"/>
      <w:lvlText w:val="%5."/>
      <w:lvlJc w:val="left"/>
      <w:pPr>
        <w:tabs>
          <w:tab w:val="num" w:pos="3600"/>
        </w:tabs>
        <w:ind w:left="3600" w:hanging="360"/>
      </w:pPr>
    </w:lvl>
    <w:lvl w:ilvl="5" w:tplc="8C48174C" w:tentative="1">
      <w:start w:val="1"/>
      <w:numFmt w:val="decimal"/>
      <w:lvlText w:val="%6."/>
      <w:lvlJc w:val="left"/>
      <w:pPr>
        <w:tabs>
          <w:tab w:val="num" w:pos="4320"/>
        </w:tabs>
        <w:ind w:left="4320" w:hanging="360"/>
      </w:pPr>
    </w:lvl>
    <w:lvl w:ilvl="6" w:tplc="3E34BF9A">
      <w:start w:val="1"/>
      <w:numFmt w:val="decimal"/>
      <w:lvlText w:val="%7."/>
      <w:lvlJc w:val="left"/>
      <w:pPr>
        <w:tabs>
          <w:tab w:val="num" w:pos="5040"/>
        </w:tabs>
        <w:ind w:left="5040" w:hanging="360"/>
      </w:pPr>
    </w:lvl>
    <w:lvl w:ilvl="7" w:tplc="0560B1FE" w:tentative="1">
      <w:start w:val="1"/>
      <w:numFmt w:val="decimal"/>
      <w:lvlText w:val="%8."/>
      <w:lvlJc w:val="left"/>
      <w:pPr>
        <w:tabs>
          <w:tab w:val="num" w:pos="5760"/>
        </w:tabs>
        <w:ind w:left="5760" w:hanging="360"/>
      </w:pPr>
    </w:lvl>
    <w:lvl w:ilvl="8" w:tplc="D7A0BC94" w:tentative="1">
      <w:start w:val="1"/>
      <w:numFmt w:val="decimal"/>
      <w:lvlText w:val="%9."/>
      <w:lvlJc w:val="left"/>
      <w:pPr>
        <w:tabs>
          <w:tab w:val="num" w:pos="6480"/>
        </w:tabs>
        <w:ind w:left="6480" w:hanging="360"/>
      </w:pPr>
    </w:lvl>
  </w:abstractNum>
  <w:num w:numId="1" w16cid:durableId="1826896556">
    <w:abstractNumId w:val="15"/>
  </w:num>
  <w:num w:numId="2" w16cid:durableId="363868911">
    <w:abstractNumId w:val="30"/>
  </w:num>
  <w:num w:numId="3" w16cid:durableId="1513690042">
    <w:abstractNumId w:val="3"/>
  </w:num>
  <w:num w:numId="4" w16cid:durableId="1497112498">
    <w:abstractNumId w:val="23"/>
  </w:num>
  <w:num w:numId="5" w16cid:durableId="129595816">
    <w:abstractNumId w:val="29"/>
  </w:num>
  <w:num w:numId="6" w16cid:durableId="1081414394">
    <w:abstractNumId w:val="25"/>
  </w:num>
  <w:num w:numId="7" w16cid:durableId="257056764">
    <w:abstractNumId w:val="31"/>
  </w:num>
  <w:num w:numId="8" w16cid:durableId="1926258982">
    <w:abstractNumId w:val="38"/>
  </w:num>
  <w:num w:numId="9" w16cid:durableId="998341648">
    <w:abstractNumId w:val="20"/>
  </w:num>
  <w:num w:numId="10" w16cid:durableId="1051422161">
    <w:abstractNumId w:val="28"/>
  </w:num>
  <w:num w:numId="11" w16cid:durableId="463356427">
    <w:abstractNumId w:val="24"/>
  </w:num>
  <w:num w:numId="12" w16cid:durableId="2135557103">
    <w:abstractNumId w:val="7"/>
  </w:num>
  <w:num w:numId="13" w16cid:durableId="1141460870">
    <w:abstractNumId w:val="6"/>
  </w:num>
  <w:num w:numId="14" w16cid:durableId="1809469041">
    <w:abstractNumId w:val="5"/>
  </w:num>
  <w:num w:numId="15" w16cid:durableId="1644698782">
    <w:abstractNumId w:val="13"/>
  </w:num>
  <w:num w:numId="16" w16cid:durableId="676999968">
    <w:abstractNumId w:val="36"/>
  </w:num>
  <w:num w:numId="17" w16cid:durableId="1852527807">
    <w:abstractNumId w:val="14"/>
  </w:num>
  <w:num w:numId="18" w16cid:durableId="781070045">
    <w:abstractNumId w:val="27"/>
  </w:num>
  <w:num w:numId="19" w16cid:durableId="106849782">
    <w:abstractNumId w:val="39"/>
  </w:num>
  <w:num w:numId="20" w16cid:durableId="5847260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709241">
    <w:abstractNumId w:val="37"/>
  </w:num>
  <w:num w:numId="22" w16cid:durableId="299657295">
    <w:abstractNumId w:val="11"/>
  </w:num>
  <w:num w:numId="23" w16cid:durableId="1951546994">
    <w:abstractNumId w:val="33"/>
  </w:num>
  <w:num w:numId="24" w16cid:durableId="1210343155">
    <w:abstractNumId w:val="0"/>
  </w:num>
  <w:num w:numId="25" w16cid:durableId="828985195">
    <w:abstractNumId w:val="32"/>
  </w:num>
  <w:num w:numId="26" w16cid:durableId="484861438">
    <w:abstractNumId w:val="9"/>
  </w:num>
  <w:num w:numId="27" w16cid:durableId="1697542853">
    <w:abstractNumId w:val="34"/>
  </w:num>
  <w:num w:numId="28" w16cid:durableId="2062946517">
    <w:abstractNumId w:val="26"/>
  </w:num>
  <w:num w:numId="29" w16cid:durableId="159851707">
    <w:abstractNumId w:val="41"/>
  </w:num>
  <w:num w:numId="30" w16cid:durableId="727414310">
    <w:abstractNumId w:val="1"/>
  </w:num>
  <w:num w:numId="31" w16cid:durableId="127626689">
    <w:abstractNumId w:val="17"/>
  </w:num>
  <w:num w:numId="32" w16cid:durableId="1896576818">
    <w:abstractNumId w:val="22"/>
  </w:num>
  <w:num w:numId="33" w16cid:durableId="2012679274">
    <w:abstractNumId w:val="12"/>
  </w:num>
  <w:num w:numId="34" w16cid:durableId="1341926163">
    <w:abstractNumId w:val="4"/>
  </w:num>
  <w:num w:numId="35" w16cid:durableId="1458840688">
    <w:abstractNumId w:val="19"/>
  </w:num>
  <w:num w:numId="36" w16cid:durableId="820076760">
    <w:abstractNumId w:val="2"/>
  </w:num>
  <w:num w:numId="37" w16cid:durableId="1660966035">
    <w:abstractNumId w:val="8"/>
  </w:num>
  <w:num w:numId="38" w16cid:durableId="424230434">
    <w:abstractNumId w:val="21"/>
  </w:num>
  <w:num w:numId="39" w16cid:durableId="9630775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3977237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2890297">
    <w:abstractNumId w:val="35"/>
  </w:num>
  <w:num w:numId="42" w16cid:durableId="1404676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337685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4728995">
    <w:abstractNumId w:val="40"/>
  </w:num>
  <w:num w:numId="45" w16cid:durableId="811169203">
    <w:abstractNumId w:val="16"/>
  </w:num>
  <w:num w:numId="46" w16cid:durableId="1957176965">
    <w:abstractNumId w:val="10"/>
  </w:num>
  <w:num w:numId="47" w16cid:durableId="5340770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475"/>
    <w:rsid w:val="00000B3D"/>
    <w:rsid w:val="00000E1E"/>
    <w:rsid w:val="00001A29"/>
    <w:rsid w:val="00001B84"/>
    <w:rsid w:val="00001D45"/>
    <w:rsid w:val="00001FD3"/>
    <w:rsid w:val="00002052"/>
    <w:rsid w:val="00002E64"/>
    <w:rsid w:val="000033F1"/>
    <w:rsid w:val="00003720"/>
    <w:rsid w:val="000043DC"/>
    <w:rsid w:val="00004AD9"/>
    <w:rsid w:val="00004FDE"/>
    <w:rsid w:val="000064E9"/>
    <w:rsid w:val="00006538"/>
    <w:rsid w:val="00006878"/>
    <w:rsid w:val="00006D11"/>
    <w:rsid w:val="00006DD1"/>
    <w:rsid w:val="00007FD9"/>
    <w:rsid w:val="00012006"/>
    <w:rsid w:val="00012199"/>
    <w:rsid w:val="0001331C"/>
    <w:rsid w:val="000145E3"/>
    <w:rsid w:val="00015101"/>
    <w:rsid w:val="00015F73"/>
    <w:rsid w:val="00017664"/>
    <w:rsid w:val="00020302"/>
    <w:rsid w:val="0002036E"/>
    <w:rsid w:val="00020EB7"/>
    <w:rsid w:val="00021159"/>
    <w:rsid w:val="00022346"/>
    <w:rsid w:val="000229F8"/>
    <w:rsid w:val="00023035"/>
    <w:rsid w:val="0002326C"/>
    <w:rsid w:val="000233BC"/>
    <w:rsid w:val="000234B2"/>
    <w:rsid w:val="00023A5B"/>
    <w:rsid w:val="000246DE"/>
    <w:rsid w:val="00024789"/>
    <w:rsid w:val="00024D26"/>
    <w:rsid w:val="00025E7A"/>
    <w:rsid w:val="00026321"/>
    <w:rsid w:val="0002650D"/>
    <w:rsid w:val="0002686F"/>
    <w:rsid w:val="000268EE"/>
    <w:rsid w:val="00027912"/>
    <w:rsid w:val="00027B78"/>
    <w:rsid w:val="00027C6E"/>
    <w:rsid w:val="00030164"/>
    <w:rsid w:val="00030804"/>
    <w:rsid w:val="00030D01"/>
    <w:rsid w:val="000310EC"/>
    <w:rsid w:val="00034672"/>
    <w:rsid w:val="00034D38"/>
    <w:rsid w:val="000364C3"/>
    <w:rsid w:val="00037590"/>
    <w:rsid w:val="00037A54"/>
    <w:rsid w:val="00037CC4"/>
    <w:rsid w:val="00041BBD"/>
    <w:rsid w:val="00041F89"/>
    <w:rsid w:val="000420D4"/>
    <w:rsid w:val="0004251A"/>
    <w:rsid w:val="00042C35"/>
    <w:rsid w:val="0004348F"/>
    <w:rsid w:val="00043814"/>
    <w:rsid w:val="00045017"/>
    <w:rsid w:val="00045246"/>
    <w:rsid w:val="000453A6"/>
    <w:rsid w:val="00045711"/>
    <w:rsid w:val="0004590B"/>
    <w:rsid w:val="00046662"/>
    <w:rsid w:val="00046DB9"/>
    <w:rsid w:val="00047613"/>
    <w:rsid w:val="000479BA"/>
    <w:rsid w:val="000511A2"/>
    <w:rsid w:val="0005231A"/>
    <w:rsid w:val="0005249F"/>
    <w:rsid w:val="00052D3B"/>
    <w:rsid w:val="0005377C"/>
    <w:rsid w:val="000545D0"/>
    <w:rsid w:val="00054A38"/>
    <w:rsid w:val="000568D9"/>
    <w:rsid w:val="00062CBF"/>
    <w:rsid w:val="00062E76"/>
    <w:rsid w:val="000630F6"/>
    <w:rsid w:val="000634F5"/>
    <w:rsid w:val="00063E0F"/>
    <w:rsid w:val="00064820"/>
    <w:rsid w:val="00064D34"/>
    <w:rsid w:val="00066C73"/>
    <w:rsid w:val="00066F23"/>
    <w:rsid w:val="00070CD6"/>
    <w:rsid w:val="000711AE"/>
    <w:rsid w:val="00071C36"/>
    <w:rsid w:val="00071D4E"/>
    <w:rsid w:val="00071EF7"/>
    <w:rsid w:val="00072298"/>
    <w:rsid w:val="00074624"/>
    <w:rsid w:val="00076516"/>
    <w:rsid w:val="00077AE0"/>
    <w:rsid w:val="00080536"/>
    <w:rsid w:val="00080C6A"/>
    <w:rsid w:val="000826A1"/>
    <w:rsid w:val="00082CCE"/>
    <w:rsid w:val="000833FF"/>
    <w:rsid w:val="00083AC0"/>
    <w:rsid w:val="00084722"/>
    <w:rsid w:val="0008518A"/>
    <w:rsid w:val="000852F2"/>
    <w:rsid w:val="00086117"/>
    <w:rsid w:val="000862ED"/>
    <w:rsid w:val="00087B41"/>
    <w:rsid w:val="00090738"/>
    <w:rsid w:val="00090D71"/>
    <w:rsid w:val="00090F20"/>
    <w:rsid w:val="000915A3"/>
    <w:rsid w:val="00091AB6"/>
    <w:rsid w:val="00092752"/>
    <w:rsid w:val="00093609"/>
    <w:rsid w:val="00093BB6"/>
    <w:rsid w:val="00093D50"/>
    <w:rsid w:val="00094725"/>
    <w:rsid w:val="00094E20"/>
    <w:rsid w:val="00094EB2"/>
    <w:rsid w:val="00095A3F"/>
    <w:rsid w:val="00095C17"/>
    <w:rsid w:val="00096032"/>
    <w:rsid w:val="00096456"/>
    <w:rsid w:val="00096BC8"/>
    <w:rsid w:val="00096D6F"/>
    <w:rsid w:val="00096E9C"/>
    <w:rsid w:val="00096EEC"/>
    <w:rsid w:val="000A11ED"/>
    <w:rsid w:val="000A1704"/>
    <w:rsid w:val="000A1799"/>
    <w:rsid w:val="000A662C"/>
    <w:rsid w:val="000A7C62"/>
    <w:rsid w:val="000B0143"/>
    <w:rsid w:val="000B05CC"/>
    <w:rsid w:val="000B09D5"/>
    <w:rsid w:val="000B199F"/>
    <w:rsid w:val="000B19F5"/>
    <w:rsid w:val="000B1D6E"/>
    <w:rsid w:val="000B2A29"/>
    <w:rsid w:val="000B2A93"/>
    <w:rsid w:val="000B332E"/>
    <w:rsid w:val="000B404A"/>
    <w:rsid w:val="000B42FC"/>
    <w:rsid w:val="000B4528"/>
    <w:rsid w:val="000B4835"/>
    <w:rsid w:val="000B4DBC"/>
    <w:rsid w:val="000B5EB0"/>
    <w:rsid w:val="000B7CC8"/>
    <w:rsid w:val="000C0436"/>
    <w:rsid w:val="000C188C"/>
    <w:rsid w:val="000C25E3"/>
    <w:rsid w:val="000C297F"/>
    <w:rsid w:val="000C3EE3"/>
    <w:rsid w:val="000C3F66"/>
    <w:rsid w:val="000C4C88"/>
    <w:rsid w:val="000C5BA5"/>
    <w:rsid w:val="000C5F84"/>
    <w:rsid w:val="000C7B95"/>
    <w:rsid w:val="000C7BA9"/>
    <w:rsid w:val="000D0562"/>
    <w:rsid w:val="000D08F8"/>
    <w:rsid w:val="000D0D24"/>
    <w:rsid w:val="000D12B8"/>
    <w:rsid w:val="000D3F2B"/>
    <w:rsid w:val="000D3F31"/>
    <w:rsid w:val="000D5B34"/>
    <w:rsid w:val="000D62D6"/>
    <w:rsid w:val="000D6859"/>
    <w:rsid w:val="000D6A9A"/>
    <w:rsid w:val="000D6DFC"/>
    <w:rsid w:val="000D791C"/>
    <w:rsid w:val="000E13F1"/>
    <w:rsid w:val="000E2171"/>
    <w:rsid w:val="000E2978"/>
    <w:rsid w:val="000E2988"/>
    <w:rsid w:val="000E2A1D"/>
    <w:rsid w:val="000E2B5D"/>
    <w:rsid w:val="000E2FBB"/>
    <w:rsid w:val="000E44ED"/>
    <w:rsid w:val="000E4E64"/>
    <w:rsid w:val="000E5DF9"/>
    <w:rsid w:val="000E6108"/>
    <w:rsid w:val="000E6287"/>
    <w:rsid w:val="000E7A7A"/>
    <w:rsid w:val="000F19CE"/>
    <w:rsid w:val="000F2124"/>
    <w:rsid w:val="000F27AC"/>
    <w:rsid w:val="000F2BD4"/>
    <w:rsid w:val="000F2C25"/>
    <w:rsid w:val="000F324C"/>
    <w:rsid w:val="000F4460"/>
    <w:rsid w:val="000F5996"/>
    <w:rsid w:val="000F7363"/>
    <w:rsid w:val="000F74FC"/>
    <w:rsid w:val="000F7B38"/>
    <w:rsid w:val="000F7C56"/>
    <w:rsid w:val="001000AA"/>
    <w:rsid w:val="00100254"/>
    <w:rsid w:val="0010150A"/>
    <w:rsid w:val="0010266A"/>
    <w:rsid w:val="00102D43"/>
    <w:rsid w:val="00103CF4"/>
    <w:rsid w:val="00104C74"/>
    <w:rsid w:val="0010594C"/>
    <w:rsid w:val="001059D3"/>
    <w:rsid w:val="001059E2"/>
    <w:rsid w:val="00105A66"/>
    <w:rsid w:val="00105E29"/>
    <w:rsid w:val="00106079"/>
    <w:rsid w:val="001066B2"/>
    <w:rsid w:val="0010746A"/>
    <w:rsid w:val="00110C24"/>
    <w:rsid w:val="00110C85"/>
    <w:rsid w:val="001113F1"/>
    <w:rsid w:val="001125FC"/>
    <w:rsid w:val="00112B22"/>
    <w:rsid w:val="0011326C"/>
    <w:rsid w:val="00113289"/>
    <w:rsid w:val="0011453F"/>
    <w:rsid w:val="001150AD"/>
    <w:rsid w:val="00115852"/>
    <w:rsid w:val="00115CF5"/>
    <w:rsid w:val="00115E16"/>
    <w:rsid w:val="00117A29"/>
    <w:rsid w:val="0012082E"/>
    <w:rsid w:val="00120865"/>
    <w:rsid w:val="001213D8"/>
    <w:rsid w:val="001218CC"/>
    <w:rsid w:val="00121A39"/>
    <w:rsid w:val="00121A53"/>
    <w:rsid w:val="0012278E"/>
    <w:rsid w:val="00123975"/>
    <w:rsid w:val="00123C7C"/>
    <w:rsid w:val="001248E9"/>
    <w:rsid w:val="00124AF0"/>
    <w:rsid w:val="001252D1"/>
    <w:rsid w:val="00125711"/>
    <w:rsid w:val="0012589C"/>
    <w:rsid w:val="00125ABA"/>
    <w:rsid w:val="00126B72"/>
    <w:rsid w:val="00126F63"/>
    <w:rsid w:val="00127549"/>
    <w:rsid w:val="001307EA"/>
    <w:rsid w:val="00131DD3"/>
    <w:rsid w:val="001324F2"/>
    <w:rsid w:val="00132535"/>
    <w:rsid w:val="00132804"/>
    <w:rsid w:val="00135F8B"/>
    <w:rsid w:val="00136CFE"/>
    <w:rsid w:val="00136FF4"/>
    <w:rsid w:val="001405F7"/>
    <w:rsid w:val="0014125C"/>
    <w:rsid w:val="00142C49"/>
    <w:rsid w:val="00143540"/>
    <w:rsid w:val="00143B4E"/>
    <w:rsid w:val="0014608F"/>
    <w:rsid w:val="001467EA"/>
    <w:rsid w:val="00146FD0"/>
    <w:rsid w:val="001470BB"/>
    <w:rsid w:val="00147A96"/>
    <w:rsid w:val="00147F20"/>
    <w:rsid w:val="0015122E"/>
    <w:rsid w:val="001519A1"/>
    <w:rsid w:val="0015406A"/>
    <w:rsid w:val="001541F0"/>
    <w:rsid w:val="001545CF"/>
    <w:rsid w:val="00154FF2"/>
    <w:rsid w:val="00154FFF"/>
    <w:rsid w:val="00155B1C"/>
    <w:rsid w:val="00156A88"/>
    <w:rsid w:val="00156B3C"/>
    <w:rsid w:val="00156BE7"/>
    <w:rsid w:val="00157C72"/>
    <w:rsid w:val="0016157E"/>
    <w:rsid w:val="001617C6"/>
    <w:rsid w:val="00161B60"/>
    <w:rsid w:val="001621B4"/>
    <w:rsid w:val="00162962"/>
    <w:rsid w:val="00162E0E"/>
    <w:rsid w:val="00163227"/>
    <w:rsid w:val="0016323F"/>
    <w:rsid w:val="00163463"/>
    <w:rsid w:val="001634C1"/>
    <w:rsid w:val="001636BA"/>
    <w:rsid w:val="00163E17"/>
    <w:rsid w:val="00164355"/>
    <w:rsid w:val="00164487"/>
    <w:rsid w:val="00164CF2"/>
    <w:rsid w:val="001655DF"/>
    <w:rsid w:val="00165AE4"/>
    <w:rsid w:val="00165C09"/>
    <w:rsid w:val="00165D8B"/>
    <w:rsid w:val="0017064D"/>
    <w:rsid w:val="00170E1A"/>
    <w:rsid w:val="001714DE"/>
    <w:rsid w:val="001721D1"/>
    <w:rsid w:val="00172284"/>
    <w:rsid w:val="00172342"/>
    <w:rsid w:val="00172CBD"/>
    <w:rsid w:val="00173275"/>
    <w:rsid w:val="0017380D"/>
    <w:rsid w:val="00173DC7"/>
    <w:rsid w:val="00173E36"/>
    <w:rsid w:val="001743E9"/>
    <w:rsid w:val="0017514B"/>
    <w:rsid w:val="00175C58"/>
    <w:rsid w:val="0017623D"/>
    <w:rsid w:val="001767A6"/>
    <w:rsid w:val="00176DC1"/>
    <w:rsid w:val="0017709C"/>
    <w:rsid w:val="00177FC5"/>
    <w:rsid w:val="0018108E"/>
    <w:rsid w:val="00181E33"/>
    <w:rsid w:val="00183054"/>
    <w:rsid w:val="001830AF"/>
    <w:rsid w:val="001830C1"/>
    <w:rsid w:val="00183FCC"/>
    <w:rsid w:val="001843DE"/>
    <w:rsid w:val="001844FD"/>
    <w:rsid w:val="00185688"/>
    <w:rsid w:val="001866AF"/>
    <w:rsid w:val="00186780"/>
    <w:rsid w:val="0018723E"/>
    <w:rsid w:val="00187A7F"/>
    <w:rsid w:val="00187CAC"/>
    <w:rsid w:val="001902F1"/>
    <w:rsid w:val="001908C2"/>
    <w:rsid w:val="0019105F"/>
    <w:rsid w:val="00191C79"/>
    <w:rsid w:val="00192163"/>
    <w:rsid w:val="00192858"/>
    <w:rsid w:val="00192B00"/>
    <w:rsid w:val="0019387A"/>
    <w:rsid w:val="00193A37"/>
    <w:rsid w:val="00194276"/>
    <w:rsid w:val="00194BE9"/>
    <w:rsid w:val="0019571D"/>
    <w:rsid w:val="001957D3"/>
    <w:rsid w:val="00196D97"/>
    <w:rsid w:val="00197CDF"/>
    <w:rsid w:val="00197F7A"/>
    <w:rsid w:val="001A0AAE"/>
    <w:rsid w:val="001A2193"/>
    <w:rsid w:val="001A26BA"/>
    <w:rsid w:val="001A2911"/>
    <w:rsid w:val="001A4245"/>
    <w:rsid w:val="001A438E"/>
    <w:rsid w:val="001A4424"/>
    <w:rsid w:val="001A50A1"/>
    <w:rsid w:val="001A674E"/>
    <w:rsid w:val="001A7085"/>
    <w:rsid w:val="001A7A93"/>
    <w:rsid w:val="001B15BC"/>
    <w:rsid w:val="001B31D1"/>
    <w:rsid w:val="001B39E0"/>
    <w:rsid w:val="001B3F44"/>
    <w:rsid w:val="001B4C06"/>
    <w:rsid w:val="001B4F8C"/>
    <w:rsid w:val="001B5052"/>
    <w:rsid w:val="001B598F"/>
    <w:rsid w:val="001B59F7"/>
    <w:rsid w:val="001B5A01"/>
    <w:rsid w:val="001B5A97"/>
    <w:rsid w:val="001B6531"/>
    <w:rsid w:val="001B748D"/>
    <w:rsid w:val="001B74E9"/>
    <w:rsid w:val="001C0011"/>
    <w:rsid w:val="001C1D4F"/>
    <w:rsid w:val="001C1DFF"/>
    <w:rsid w:val="001C2652"/>
    <w:rsid w:val="001C3271"/>
    <w:rsid w:val="001C418D"/>
    <w:rsid w:val="001C45D8"/>
    <w:rsid w:val="001C47CD"/>
    <w:rsid w:val="001C4F7E"/>
    <w:rsid w:val="001C58EC"/>
    <w:rsid w:val="001C5AE7"/>
    <w:rsid w:val="001C6956"/>
    <w:rsid w:val="001C776B"/>
    <w:rsid w:val="001D030B"/>
    <w:rsid w:val="001D0A22"/>
    <w:rsid w:val="001D1910"/>
    <w:rsid w:val="001D29BE"/>
    <w:rsid w:val="001D2E79"/>
    <w:rsid w:val="001D356D"/>
    <w:rsid w:val="001D5A5F"/>
    <w:rsid w:val="001D6168"/>
    <w:rsid w:val="001D6861"/>
    <w:rsid w:val="001D7008"/>
    <w:rsid w:val="001D7A23"/>
    <w:rsid w:val="001E019A"/>
    <w:rsid w:val="001E0478"/>
    <w:rsid w:val="001E05D8"/>
    <w:rsid w:val="001E0823"/>
    <w:rsid w:val="001E12F0"/>
    <w:rsid w:val="001E1492"/>
    <w:rsid w:val="001E2B03"/>
    <w:rsid w:val="001E3B45"/>
    <w:rsid w:val="001E4208"/>
    <w:rsid w:val="001E42F9"/>
    <w:rsid w:val="001E4346"/>
    <w:rsid w:val="001E45B8"/>
    <w:rsid w:val="001E4A17"/>
    <w:rsid w:val="001E4AE2"/>
    <w:rsid w:val="001E5D60"/>
    <w:rsid w:val="001F0254"/>
    <w:rsid w:val="001F1AB8"/>
    <w:rsid w:val="001F1FE9"/>
    <w:rsid w:val="001F2029"/>
    <w:rsid w:val="001F2244"/>
    <w:rsid w:val="001F24B2"/>
    <w:rsid w:val="001F2785"/>
    <w:rsid w:val="001F2FF0"/>
    <w:rsid w:val="001F2FF9"/>
    <w:rsid w:val="001F4FFF"/>
    <w:rsid w:val="001F52F2"/>
    <w:rsid w:val="001F6725"/>
    <w:rsid w:val="001F779F"/>
    <w:rsid w:val="0020093D"/>
    <w:rsid w:val="00200CBC"/>
    <w:rsid w:val="00201307"/>
    <w:rsid w:val="002014AA"/>
    <w:rsid w:val="0020299C"/>
    <w:rsid w:val="00204E77"/>
    <w:rsid w:val="00205092"/>
    <w:rsid w:val="00205558"/>
    <w:rsid w:val="00206824"/>
    <w:rsid w:val="00206C48"/>
    <w:rsid w:val="00207250"/>
    <w:rsid w:val="00215B78"/>
    <w:rsid w:val="0021621F"/>
    <w:rsid w:val="00216FA2"/>
    <w:rsid w:val="002178BC"/>
    <w:rsid w:val="002200F8"/>
    <w:rsid w:val="00220774"/>
    <w:rsid w:val="00220842"/>
    <w:rsid w:val="0022174B"/>
    <w:rsid w:val="002228AA"/>
    <w:rsid w:val="00223283"/>
    <w:rsid w:val="00223713"/>
    <w:rsid w:val="0022374A"/>
    <w:rsid w:val="00223EA5"/>
    <w:rsid w:val="002241D0"/>
    <w:rsid w:val="002246C2"/>
    <w:rsid w:val="00224794"/>
    <w:rsid w:val="0022516A"/>
    <w:rsid w:val="0022640D"/>
    <w:rsid w:val="00226BE0"/>
    <w:rsid w:val="00226DB8"/>
    <w:rsid w:val="00234304"/>
    <w:rsid w:val="00234C2E"/>
    <w:rsid w:val="0023513C"/>
    <w:rsid w:val="0023579B"/>
    <w:rsid w:val="00235C39"/>
    <w:rsid w:val="00235EC6"/>
    <w:rsid w:val="00236975"/>
    <w:rsid w:val="00236D62"/>
    <w:rsid w:val="00240291"/>
    <w:rsid w:val="00240383"/>
    <w:rsid w:val="002403CA"/>
    <w:rsid w:val="00241118"/>
    <w:rsid w:val="00241969"/>
    <w:rsid w:val="00241B08"/>
    <w:rsid w:val="002426C8"/>
    <w:rsid w:val="00243731"/>
    <w:rsid w:val="002444A5"/>
    <w:rsid w:val="00244BBA"/>
    <w:rsid w:val="00244CE6"/>
    <w:rsid w:val="002451B6"/>
    <w:rsid w:val="00246037"/>
    <w:rsid w:val="0024647F"/>
    <w:rsid w:val="002467BB"/>
    <w:rsid w:val="00246A15"/>
    <w:rsid w:val="00247832"/>
    <w:rsid w:val="00250260"/>
    <w:rsid w:val="002507E8"/>
    <w:rsid w:val="0025084E"/>
    <w:rsid w:val="0025116D"/>
    <w:rsid w:val="00251DDA"/>
    <w:rsid w:val="00251FDE"/>
    <w:rsid w:val="00253B38"/>
    <w:rsid w:val="0025427B"/>
    <w:rsid w:val="00254D21"/>
    <w:rsid w:val="00255CAE"/>
    <w:rsid w:val="00256501"/>
    <w:rsid w:val="00256CF2"/>
    <w:rsid w:val="0025715C"/>
    <w:rsid w:val="0025781A"/>
    <w:rsid w:val="002579C4"/>
    <w:rsid w:val="002579CB"/>
    <w:rsid w:val="00257AD9"/>
    <w:rsid w:val="00257F2E"/>
    <w:rsid w:val="0026012E"/>
    <w:rsid w:val="00260499"/>
    <w:rsid w:val="002605B5"/>
    <w:rsid w:val="002610D4"/>
    <w:rsid w:val="00261748"/>
    <w:rsid w:val="00261843"/>
    <w:rsid w:val="00265FC9"/>
    <w:rsid w:val="002669F3"/>
    <w:rsid w:val="00267109"/>
    <w:rsid w:val="00270FC5"/>
    <w:rsid w:val="00271E09"/>
    <w:rsid w:val="002734C0"/>
    <w:rsid w:val="0027433E"/>
    <w:rsid w:val="00276322"/>
    <w:rsid w:val="00276A38"/>
    <w:rsid w:val="00277314"/>
    <w:rsid w:val="0027757C"/>
    <w:rsid w:val="002776A1"/>
    <w:rsid w:val="002778BB"/>
    <w:rsid w:val="00277DAA"/>
    <w:rsid w:val="0028042F"/>
    <w:rsid w:val="002806A8"/>
    <w:rsid w:val="00281FF7"/>
    <w:rsid w:val="00284208"/>
    <w:rsid w:val="00284542"/>
    <w:rsid w:val="00284ED8"/>
    <w:rsid w:val="00285F67"/>
    <w:rsid w:val="00286083"/>
    <w:rsid w:val="00286861"/>
    <w:rsid w:val="00287479"/>
    <w:rsid w:val="00287FE8"/>
    <w:rsid w:val="002910C6"/>
    <w:rsid w:val="0029233C"/>
    <w:rsid w:val="002925F8"/>
    <w:rsid w:val="00292A26"/>
    <w:rsid w:val="002930D1"/>
    <w:rsid w:val="0029461A"/>
    <w:rsid w:val="0029534D"/>
    <w:rsid w:val="00295D3A"/>
    <w:rsid w:val="00296FC9"/>
    <w:rsid w:val="002975A5"/>
    <w:rsid w:val="002A1C9B"/>
    <w:rsid w:val="002A1D03"/>
    <w:rsid w:val="002A24D6"/>
    <w:rsid w:val="002A2A6B"/>
    <w:rsid w:val="002A2C67"/>
    <w:rsid w:val="002A2C96"/>
    <w:rsid w:val="002A2F62"/>
    <w:rsid w:val="002A40EA"/>
    <w:rsid w:val="002A4567"/>
    <w:rsid w:val="002A54FF"/>
    <w:rsid w:val="002A5DCD"/>
    <w:rsid w:val="002A6F9B"/>
    <w:rsid w:val="002B08DE"/>
    <w:rsid w:val="002B0D3F"/>
    <w:rsid w:val="002B11C5"/>
    <w:rsid w:val="002B1613"/>
    <w:rsid w:val="002B1846"/>
    <w:rsid w:val="002B1F76"/>
    <w:rsid w:val="002B2662"/>
    <w:rsid w:val="002B2D7B"/>
    <w:rsid w:val="002B39CE"/>
    <w:rsid w:val="002B4139"/>
    <w:rsid w:val="002B5894"/>
    <w:rsid w:val="002B608F"/>
    <w:rsid w:val="002B61E3"/>
    <w:rsid w:val="002B66B0"/>
    <w:rsid w:val="002B71C1"/>
    <w:rsid w:val="002B73D2"/>
    <w:rsid w:val="002C07A2"/>
    <w:rsid w:val="002C0A4F"/>
    <w:rsid w:val="002C0F7F"/>
    <w:rsid w:val="002C10B7"/>
    <w:rsid w:val="002C23CC"/>
    <w:rsid w:val="002C242E"/>
    <w:rsid w:val="002C2A95"/>
    <w:rsid w:val="002C42A6"/>
    <w:rsid w:val="002C4D59"/>
    <w:rsid w:val="002C60EF"/>
    <w:rsid w:val="002C6255"/>
    <w:rsid w:val="002C6523"/>
    <w:rsid w:val="002C674D"/>
    <w:rsid w:val="002C73F8"/>
    <w:rsid w:val="002C7B02"/>
    <w:rsid w:val="002C7C85"/>
    <w:rsid w:val="002C7F7D"/>
    <w:rsid w:val="002D0195"/>
    <w:rsid w:val="002D0EDD"/>
    <w:rsid w:val="002D195B"/>
    <w:rsid w:val="002D1F77"/>
    <w:rsid w:val="002D1FBD"/>
    <w:rsid w:val="002D1FE1"/>
    <w:rsid w:val="002D22F1"/>
    <w:rsid w:val="002D312A"/>
    <w:rsid w:val="002D3992"/>
    <w:rsid w:val="002D4348"/>
    <w:rsid w:val="002D44E2"/>
    <w:rsid w:val="002D5CE5"/>
    <w:rsid w:val="002D6DE7"/>
    <w:rsid w:val="002E27DD"/>
    <w:rsid w:val="002E2E97"/>
    <w:rsid w:val="002E33D0"/>
    <w:rsid w:val="002E36DF"/>
    <w:rsid w:val="002E3CD2"/>
    <w:rsid w:val="002E472E"/>
    <w:rsid w:val="002E5D05"/>
    <w:rsid w:val="002E6874"/>
    <w:rsid w:val="002E7439"/>
    <w:rsid w:val="002E7983"/>
    <w:rsid w:val="002F0BE8"/>
    <w:rsid w:val="002F1EF7"/>
    <w:rsid w:val="002F250E"/>
    <w:rsid w:val="002F2860"/>
    <w:rsid w:val="002F287E"/>
    <w:rsid w:val="002F2969"/>
    <w:rsid w:val="002F2D8C"/>
    <w:rsid w:val="002F2D90"/>
    <w:rsid w:val="002F3CB3"/>
    <w:rsid w:val="002F3D90"/>
    <w:rsid w:val="002F4298"/>
    <w:rsid w:val="002F4A6F"/>
    <w:rsid w:val="002F5780"/>
    <w:rsid w:val="002F63A1"/>
    <w:rsid w:val="002F66E7"/>
    <w:rsid w:val="002F7674"/>
    <w:rsid w:val="003004EE"/>
    <w:rsid w:val="003004F8"/>
    <w:rsid w:val="00300578"/>
    <w:rsid w:val="00301196"/>
    <w:rsid w:val="00301AA0"/>
    <w:rsid w:val="0030308F"/>
    <w:rsid w:val="003041CE"/>
    <w:rsid w:val="00304AC7"/>
    <w:rsid w:val="0030614C"/>
    <w:rsid w:val="00306C76"/>
    <w:rsid w:val="0030754D"/>
    <w:rsid w:val="00307E72"/>
    <w:rsid w:val="003100C6"/>
    <w:rsid w:val="00311B43"/>
    <w:rsid w:val="003120B7"/>
    <w:rsid w:val="00312198"/>
    <w:rsid w:val="0031370F"/>
    <w:rsid w:val="00315335"/>
    <w:rsid w:val="003157DA"/>
    <w:rsid w:val="00315FD8"/>
    <w:rsid w:val="00317068"/>
    <w:rsid w:val="003203E8"/>
    <w:rsid w:val="00320D7F"/>
    <w:rsid w:val="00322DA2"/>
    <w:rsid w:val="003230DE"/>
    <w:rsid w:val="003230F1"/>
    <w:rsid w:val="0032352A"/>
    <w:rsid w:val="00323541"/>
    <w:rsid w:val="0032506C"/>
    <w:rsid w:val="00326482"/>
    <w:rsid w:val="00326C00"/>
    <w:rsid w:val="00326DD1"/>
    <w:rsid w:val="00327204"/>
    <w:rsid w:val="00327A72"/>
    <w:rsid w:val="00327A9F"/>
    <w:rsid w:val="003305D0"/>
    <w:rsid w:val="00330665"/>
    <w:rsid w:val="00330672"/>
    <w:rsid w:val="00330914"/>
    <w:rsid w:val="00330A10"/>
    <w:rsid w:val="00330CD0"/>
    <w:rsid w:val="00330E21"/>
    <w:rsid w:val="00330EEC"/>
    <w:rsid w:val="003312F2"/>
    <w:rsid w:val="003329AC"/>
    <w:rsid w:val="00332C5F"/>
    <w:rsid w:val="00333C14"/>
    <w:rsid w:val="003349B3"/>
    <w:rsid w:val="0033548A"/>
    <w:rsid w:val="00335AD0"/>
    <w:rsid w:val="00335C61"/>
    <w:rsid w:val="003365BF"/>
    <w:rsid w:val="0033673A"/>
    <w:rsid w:val="003377FE"/>
    <w:rsid w:val="00340AB2"/>
    <w:rsid w:val="003415BB"/>
    <w:rsid w:val="00341F78"/>
    <w:rsid w:val="0034217F"/>
    <w:rsid w:val="003426B9"/>
    <w:rsid w:val="00342C5C"/>
    <w:rsid w:val="003445FE"/>
    <w:rsid w:val="00344A63"/>
    <w:rsid w:val="00344EBA"/>
    <w:rsid w:val="003452BE"/>
    <w:rsid w:val="00345F3E"/>
    <w:rsid w:val="0034698E"/>
    <w:rsid w:val="00346AD0"/>
    <w:rsid w:val="00346CE3"/>
    <w:rsid w:val="0034720B"/>
    <w:rsid w:val="00347325"/>
    <w:rsid w:val="003502E0"/>
    <w:rsid w:val="0035031A"/>
    <w:rsid w:val="0035157C"/>
    <w:rsid w:val="00352CE3"/>
    <w:rsid w:val="003530C6"/>
    <w:rsid w:val="003530D0"/>
    <w:rsid w:val="003537B1"/>
    <w:rsid w:val="00354900"/>
    <w:rsid w:val="00354CF0"/>
    <w:rsid w:val="00356139"/>
    <w:rsid w:val="00356E28"/>
    <w:rsid w:val="00357052"/>
    <w:rsid w:val="00357450"/>
    <w:rsid w:val="003574CC"/>
    <w:rsid w:val="0035760A"/>
    <w:rsid w:val="00357D18"/>
    <w:rsid w:val="0036194D"/>
    <w:rsid w:val="003635BB"/>
    <w:rsid w:val="003643D1"/>
    <w:rsid w:val="00364477"/>
    <w:rsid w:val="0036480E"/>
    <w:rsid w:val="0036736D"/>
    <w:rsid w:val="00367495"/>
    <w:rsid w:val="003702CB"/>
    <w:rsid w:val="003708A0"/>
    <w:rsid w:val="00370CFB"/>
    <w:rsid w:val="00371646"/>
    <w:rsid w:val="003719ED"/>
    <w:rsid w:val="003729C4"/>
    <w:rsid w:val="00372BED"/>
    <w:rsid w:val="003738CE"/>
    <w:rsid w:val="00373BB3"/>
    <w:rsid w:val="00376692"/>
    <w:rsid w:val="0037699E"/>
    <w:rsid w:val="00376F1B"/>
    <w:rsid w:val="00377280"/>
    <w:rsid w:val="00377445"/>
    <w:rsid w:val="003776EE"/>
    <w:rsid w:val="003800A0"/>
    <w:rsid w:val="00380657"/>
    <w:rsid w:val="003808A6"/>
    <w:rsid w:val="00380C51"/>
    <w:rsid w:val="00380F94"/>
    <w:rsid w:val="00381501"/>
    <w:rsid w:val="003817F2"/>
    <w:rsid w:val="003819D5"/>
    <w:rsid w:val="00382723"/>
    <w:rsid w:val="00382765"/>
    <w:rsid w:val="00382BB8"/>
    <w:rsid w:val="00382CEE"/>
    <w:rsid w:val="003840A5"/>
    <w:rsid w:val="0038543E"/>
    <w:rsid w:val="00385865"/>
    <w:rsid w:val="00385ABF"/>
    <w:rsid w:val="00386D3E"/>
    <w:rsid w:val="00387744"/>
    <w:rsid w:val="00387A0A"/>
    <w:rsid w:val="00390493"/>
    <w:rsid w:val="00391EEF"/>
    <w:rsid w:val="00392233"/>
    <w:rsid w:val="00392938"/>
    <w:rsid w:val="003944C6"/>
    <w:rsid w:val="003953F1"/>
    <w:rsid w:val="0039778A"/>
    <w:rsid w:val="003A089A"/>
    <w:rsid w:val="003A098B"/>
    <w:rsid w:val="003A1410"/>
    <w:rsid w:val="003A31D6"/>
    <w:rsid w:val="003A35F4"/>
    <w:rsid w:val="003A39F3"/>
    <w:rsid w:val="003A3F4B"/>
    <w:rsid w:val="003A4EB9"/>
    <w:rsid w:val="003A5A66"/>
    <w:rsid w:val="003A5CB4"/>
    <w:rsid w:val="003A5D67"/>
    <w:rsid w:val="003A6820"/>
    <w:rsid w:val="003A6BA7"/>
    <w:rsid w:val="003A7CA6"/>
    <w:rsid w:val="003B0A05"/>
    <w:rsid w:val="003B4264"/>
    <w:rsid w:val="003C039D"/>
    <w:rsid w:val="003C0E9C"/>
    <w:rsid w:val="003C1AC1"/>
    <w:rsid w:val="003C1DBE"/>
    <w:rsid w:val="003C1DC3"/>
    <w:rsid w:val="003C2FBB"/>
    <w:rsid w:val="003C3A61"/>
    <w:rsid w:val="003C3F12"/>
    <w:rsid w:val="003C46BE"/>
    <w:rsid w:val="003C494C"/>
    <w:rsid w:val="003C4B0B"/>
    <w:rsid w:val="003C4F8D"/>
    <w:rsid w:val="003C6CF2"/>
    <w:rsid w:val="003C6E0E"/>
    <w:rsid w:val="003C7CF6"/>
    <w:rsid w:val="003D051D"/>
    <w:rsid w:val="003D178A"/>
    <w:rsid w:val="003D1EB6"/>
    <w:rsid w:val="003D377A"/>
    <w:rsid w:val="003D3B76"/>
    <w:rsid w:val="003D41D6"/>
    <w:rsid w:val="003D5F7E"/>
    <w:rsid w:val="003D6529"/>
    <w:rsid w:val="003D682F"/>
    <w:rsid w:val="003D745B"/>
    <w:rsid w:val="003D7720"/>
    <w:rsid w:val="003D7AEE"/>
    <w:rsid w:val="003E0E2E"/>
    <w:rsid w:val="003E0EB1"/>
    <w:rsid w:val="003E19D2"/>
    <w:rsid w:val="003E1CD8"/>
    <w:rsid w:val="003E2F19"/>
    <w:rsid w:val="003E3294"/>
    <w:rsid w:val="003E411A"/>
    <w:rsid w:val="003E5141"/>
    <w:rsid w:val="003E53A6"/>
    <w:rsid w:val="003E5BE0"/>
    <w:rsid w:val="003E6E93"/>
    <w:rsid w:val="003E7E3A"/>
    <w:rsid w:val="003F024E"/>
    <w:rsid w:val="003F200C"/>
    <w:rsid w:val="003F223C"/>
    <w:rsid w:val="003F2936"/>
    <w:rsid w:val="003F38E0"/>
    <w:rsid w:val="003F3A42"/>
    <w:rsid w:val="003F5B04"/>
    <w:rsid w:val="003F6026"/>
    <w:rsid w:val="003F65F7"/>
    <w:rsid w:val="003F6828"/>
    <w:rsid w:val="003F7577"/>
    <w:rsid w:val="003F7ED0"/>
    <w:rsid w:val="00400DDF"/>
    <w:rsid w:val="00402393"/>
    <w:rsid w:val="00403680"/>
    <w:rsid w:val="00403C82"/>
    <w:rsid w:val="00403D78"/>
    <w:rsid w:val="004044B6"/>
    <w:rsid w:val="004050A4"/>
    <w:rsid w:val="00407034"/>
    <w:rsid w:val="00407980"/>
    <w:rsid w:val="0041106B"/>
    <w:rsid w:val="00411884"/>
    <w:rsid w:val="00411ED9"/>
    <w:rsid w:val="00413B5E"/>
    <w:rsid w:val="0041637B"/>
    <w:rsid w:val="004176F5"/>
    <w:rsid w:val="004179CD"/>
    <w:rsid w:val="00417B4A"/>
    <w:rsid w:val="004212DC"/>
    <w:rsid w:val="00421B90"/>
    <w:rsid w:val="00422266"/>
    <w:rsid w:val="00422ECF"/>
    <w:rsid w:val="00422FA9"/>
    <w:rsid w:val="00422FB8"/>
    <w:rsid w:val="0042432C"/>
    <w:rsid w:val="00424E06"/>
    <w:rsid w:val="0042553A"/>
    <w:rsid w:val="00425895"/>
    <w:rsid w:val="00425B37"/>
    <w:rsid w:val="00427168"/>
    <w:rsid w:val="00430228"/>
    <w:rsid w:val="00430C45"/>
    <w:rsid w:val="00430FED"/>
    <w:rsid w:val="00431BAA"/>
    <w:rsid w:val="00431EDA"/>
    <w:rsid w:val="0043216D"/>
    <w:rsid w:val="00432190"/>
    <w:rsid w:val="004321F4"/>
    <w:rsid w:val="00433203"/>
    <w:rsid w:val="004338AC"/>
    <w:rsid w:val="004338DF"/>
    <w:rsid w:val="0043513B"/>
    <w:rsid w:val="0043762C"/>
    <w:rsid w:val="00437701"/>
    <w:rsid w:val="0043773E"/>
    <w:rsid w:val="0044039E"/>
    <w:rsid w:val="004407AD"/>
    <w:rsid w:val="004410D6"/>
    <w:rsid w:val="00441361"/>
    <w:rsid w:val="0044163C"/>
    <w:rsid w:val="00442B59"/>
    <w:rsid w:val="00443980"/>
    <w:rsid w:val="00443A19"/>
    <w:rsid w:val="00443C99"/>
    <w:rsid w:val="00445C74"/>
    <w:rsid w:val="0045043F"/>
    <w:rsid w:val="00450BA3"/>
    <w:rsid w:val="00451569"/>
    <w:rsid w:val="00452928"/>
    <w:rsid w:val="00452E66"/>
    <w:rsid w:val="00452FC5"/>
    <w:rsid w:val="004548E7"/>
    <w:rsid w:val="00454E83"/>
    <w:rsid w:val="00456EA4"/>
    <w:rsid w:val="0045703A"/>
    <w:rsid w:val="00457CF7"/>
    <w:rsid w:val="0046018B"/>
    <w:rsid w:val="00461D3C"/>
    <w:rsid w:val="00462605"/>
    <w:rsid w:val="00462652"/>
    <w:rsid w:val="004630FE"/>
    <w:rsid w:val="0046318D"/>
    <w:rsid w:val="00463330"/>
    <w:rsid w:val="004635EB"/>
    <w:rsid w:val="0046364A"/>
    <w:rsid w:val="00463957"/>
    <w:rsid w:val="00463CE5"/>
    <w:rsid w:val="00463E03"/>
    <w:rsid w:val="0046446B"/>
    <w:rsid w:val="00465D83"/>
    <w:rsid w:val="00466930"/>
    <w:rsid w:val="00470982"/>
    <w:rsid w:val="00471488"/>
    <w:rsid w:val="00472D93"/>
    <w:rsid w:val="00473392"/>
    <w:rsid w:val="00473818"/>
    <w:rsid w:val="00473853"/>
    <w:rsid w:val="004743B0"/>
    <w:rsid w:val="00475131"/>
    <w:rsid w:val="004776E5"/>
    <w:rsid w:val="0048065C"/>
    <w:rsid w:val="00480A8A"/>
    <w:rsid w:val="00480CB2"/>
    <w:rsid w:val="004818E5"/>
    <w:rsid w:val="0048231C"/>
    <w:rsid w:val="00482B9A"/>
    <w:rsid w:val="00482DEF"/>
    <w:rsid w:val="00483668"/>
    <w:rsid w:val="00485FB5"/>
    <w:rsid w:val="0048743D"/>
    <w:rsid w:val="00490177"/>
    <w:rsid w:val="0049098A"/>
    <w:rsid w:val="00490A8D"/>
    <w:rsid w:val="004912C0"/>
    <w:rsid w:val="004915F8"/>
    <w:rsid w:val="004924DB"/>
    <w:rsid w:val="00493F5F"/>
    <w:rsid w:val="004947F1"/>
    <w:rsid w:val="004960EA"/>
    <w:rsid w:val="0049630F"/>
    <w:rsid w:val="004970B2"/>
    <w:rsid w:val="00497BCF"/>
    <w:rsid w:val="004A1402"/>
    <w:rsid w:val="004A1425"/>
    <w:rsid w:val="004A4136"/>
    <w:rsid w:val="004A48A6"/>
    <w:rsid w:val="004A493B"/>
    <w:rsid w:val="004A4D3E"/>
    <w:rsid w:val="004A4D74"/>
    <w:rsid w:val="004A5A27"/>
    <w:rsid w:val="004A677A"/>
    <w:rsid w:val="004A745B"/>
    <w:rsid w:val="004B0E7E"/>
    <w:rsid w:val="004B1390"/>
    <w:rsid w:val="004B2CF8"/>
    <w:rsid w:val="004B3082"/>
    <w:rsid w:val="004B4D6B"/>
    <w:rsid w:val="004B65E2"/>
    <w:rsid w:val="004B7850"/>
    <w:rsid w:val="004B7DF9"/>
    <w:rsid w:val="004B7F06"/>
    <w:rsid w:val="004C03F8"/>
    <w:rsid w:val="004C17BA"/>
    <w:rsid w:val="004C1818"/>
    <w:rsid w:val="004C1ACE"/>
    <w:rsid w:val="004C1FD7"/>
    <w:rsid w:val="004C2B38"/>
    <w:rsid w:val="004C31C3"/>
    <w:rsid w:val="004C3372"/>
    <w:rsid w:val="004C3699"/>
    <w:rsid w:val="004C521E"/>
    <w:rsid w:val="004C5566"/>
    <w:rsid w:val="004C55FA"/>
    <w:rsid w:val="004C58EA"/>
    <w:rsid w:val="004C5BC7"/>
    <w:rsid w:val="004C6078"/>
    <w:rsid w:val="004C62AA"/>
    <w:rsid w:val="004C75E5"/>
    <w:rsid w:val="004C77BC"/>
    <w:rsid w:val="004C7DBE"/>
    <w:rsid w:val="004D15B8"/>
    <w:rsid w:val="004D15F8"/>
    <w:rsid w:val="004D30C3"/>
    <w:rsid w:val="004D367A"/>
    <w:rsid w:val="004D4487"/>
    <w:rsid w:val="004D4512"/>
    <w:rsid w:val="004D4EA8"/>
    <w:rsid w:val="004D512C"/>
    <w:rsid w:val="004D68BF"/>
    <w:rsid w:val="004E0844"/>
    <w:rsid w:val="004E1F81"/>
    <w:rsid w:val="004E28ED"/>
    <w:rsid w:val="004E2DC0"/>
    <w:rsid w:val="004E3736"/>
    <w:rsid w:val="004E3F6F"/>
    <w:rsid w:val="004E5370"/>
    <w:rsid w:val="004E55A0"/>
    <w:rsid w:val="004E6349"/>
    <w:rsid w:val="004E7478"/>
    <w:rsid w:val="004E7A43"/>
    <w:rsid w:val="004F056D"/>
    <w:rsid w:val="004F0DB2"/>
    <w:rsid w:val="004F1D72"/>
    <w:rsid w:val="004F1D74"/>
    <w:rsid w:val="004F37B9"/>
    <w:rsid w:val="004F63D2"/>
    <w:rsid w:val="004F65A9"/>
    <w:rsid w:val="004F6692"/>
    <w:rsid w:val="0050045B"/>
    <w:rsid w:val="005009BE"/>
    <w:rsid w:val="00500E59"/>
    <w:rsid w:val="00500FA3"/>
    <w:rsid w:val="0050197A"/>
    <w:rsid w:val="00501AEF"/>
    <w:rsid w:val="00503075"/>
    <w:rsid w:val="00503381"/>
    <w:rsid w:val="00504DF3"/>
    <w:rsid w:val="00504E20"/>
    <w:rsid w:val="00505735"/>
    <w:rsid w:val="005068E4"/>
    <w:rsid w:val="005070A1"/>
    <w:rsid w:val="00507539"/>
    <w:rsid w:val="005076EE"/>
    <w:rsid w:val="005076FC"/>
    <w:rsid w:val="0050777B"/>
    <w:rsid w:val="00510186"/>
    <w:rsid w:val="005106C9"/>
    <w:rsid w:val="00510F49"/>
    <w:rsid w:val="005112BB"/>
    <w:rsid w:val="0051254B"/>
    <w:rsid w:val="00512842"/>
    <w:rsid w:val="00512DB8"/>
    <w:rsid w:val="00513035"/>
    <w:rsid w:val="00514961"/>
    <w:rsid w:val="00515816"/>
    <w:rsid w:val="00521820"/>
    <w:rsid w:val="0052224C"/>
    <w:rsid w:val="00522EC4"/>
    <w:rsid w:val="00522EC6"/>
    <w:rsid w:val="005237BC"/>
    <w:rsid w:val="005237CF"/>
    <w:rsid w:val="00524C4B"/>
    <w:rsid w:val="00525DDC"/>
    <w:rsid w:val="0053045C"/>
    <w:rsid w:val="0053088B"/>
    <w:rsid w:val="00531108"/>
    <w:rsid w:val="005328B6"/>
    <w:rsid w:val="005334E1"/>
    <w:rsid w:val="005348E2"/>
    <w:rsid w:val="00534AA7"/>
    <w:rsid w:val="00534BA5"/>
    <w:rsid w:val="0053524A"/>
    <w:rsid w:val="0053552C"/>
    <w:rsid w:val="005356EA"/>
    <w:rsid w:val="00535E01"/>
    <w:rsid w:val="005360E1"/>
    <w:rsid w:val="005361F8"/>
    <w:rsid w:val="005370B3"/>
    <w:rsid w:val="0053715A"/>
    <w:rsid w:val="00537CB0"/>
    <w:rsid w:val="00541382"/>
    <w:rsid w:val="0054173B"/>
    <w:rsid w:val="00541B02"/>
    <w:rsid w:val="00541C81"/>
    <w:rsid w:val="00542743"/>
    <w:rsid w:val="005432E3"/>
    <w:rsid w:val="0054355D"/>
    <w:rsid w:val="00544D6F"/>
    <w:rsid w:val="00545238"/>
    <w:rsid w:val="005455FF"/>
    <w:rsid w:val="00547EF4"/>
    <w:rsid w:val="005508F1"/>
    <w:rsid w:val="005527E9"/>
    <w:rsid w:val="00553FA2"/>
    <w:rsid w:val="005544FE"/>
    <w:rsid w:val="00554A3B"/>
    <w:rsid w:val="0055562A"/>
    <w:rsid w:val="0055611A"/>
    <w:rsid w:val="00556332"/>
    <w:rsid w:val="00556E04"/>
    <w:rsid w:val="005574AD"/>
    <w:rsid w:val="005577AA"/>
    <w:rsid w:val="00557A00"/>
    <w:rsid w:val="00557C79"/>
    <w:rsid w:val="0056068F"/>
    <w:rsid w:val="00562060"/>
    <w:rsid w:val="0056246C"/>
    <w:rsid w:val="00563086"/>
    <w:rsid w:val="00570564"/>
    <w:rsid w:val="005719B4"/>
    <w:rsid w:val="0057250A"/>
    <w:rsid w:val="00572B48"/>
    <w:rsid w:val="00572FBA"/>
    <w:rsid w:val="0057313F"/>
    <w:rsid w:val="00573353"/>
    <w:rsid w:val="00573B80"/>
    <w:rsid w:val="00573BEC"/>
    <w:rsid w:val="00574557"/>
    <w:rsid w:val="00574A5D"/>
    <w:rsid w:val="00574F3E"/>
    <w:rsid w:val="005757C4"/>
    <w:rsid w:val="00575ABF"/>
    <w:rsid w:val="0057652C"/>
    <w:rsid w:val="00576820"/>
    <w:rsid w:val="00576BAE"/>
    <w:rsid w:val="0057737F"/>
    <w:rsid w:val="00580C37"/>
    <w:rsid w:val="00581D1B"/>
    <w:rsid w:val="00581E25"/>
    <w:rsid w:val="00582052"/>
    <w:rsid w:val="005822BF"/>
    <w:rsid w:val="0058236F"/>
    <w:rsid w:val="0058313C"/>
    <w:rsid w:val="005832F5"/>
    <w:rsid w:val="005836C9"/>
    <w:rsid w:val="00583BD2"/>
    <w:rsid w:val="00584131"/>
    <w:rsid w:val="00584316"/>
    <w:rsid w:val="0058462B"/>
    <w:rsid w:val="00585746"/>
    <w:rsid w:val="00585E94"/>
    <w:rsid w:val="005861B6"/>
    <w:rsid w:val="00586953"/>
    <w:rsid w:val="00591B0E"/>
    <w:rsid w:val="00592D1D"/>
    <w:rsid w:val="00592FAA"/>
    <w:rsid w:val="00593271"/>
    <w:rsid w:val="00593698"/>
    <w:rsid w:val="00593BAA"/>
    <w:rsid w:val="0059456A"/>
    <w:rsid w:val="00594A4B"/>
    <w:rsid w:val="0059545D"/>
    <w:rsid w:val="00595AA1"/>
    <w:rsid w:val="00595BE7"/>
    <w:rsid w:val="00596857"/>
    <w:rsid w:val="005974A7"/>
    <w:rsid w:val="005A0716"/>
    <w:rsid w:val="005A0AC6"/>
    <w:rsid w:val="005A12E7"/>
    <w:rsid w:val="005A1664"/>
    <w:rsid w:val="005A1938"/>
    <w:rsid w:val="005A1FD5"/>
    <w:rsid w:val="005A236C"/>
    <w:rsid w:val="005A2AAD"/>
    <w:rsid w:val="005A3453"/>
    <w:rsid w:val="005A34EE"/>
    <w:rsid w:val="005A3EF2"/>
    <w:rsid w:val="005B0BB4"/>
    <w:rsid w:val="005B1C50"/>
    <w:rsid w:val="005B250A"/>
    <w:rsid w:val="005B374C"/>
    <w:rsid w:val="005B4CE8"/>
    <w:rsid w:val="005B529F"/>
    <w:rsid w:val="005B58DD"/>
    <w:rsid w:val="005B5E14"/>
    <w:rsid w:val="005B604F"/>
    <w:rsid w:val="005B6369"/>
    <w:rsid w:val="005B647D"/>
    <w:rsid w:val="005B6774"/>
    <w:rsid w:val="005B71B2"/>
    <w:rsid w:val="005B71C9"/>
    <w:rsid w:val="005B7248"/>
    <w:rsid w:val="005C0196"/>
    <w:rsid w:val="005C01A0"/>
    <w:rsid w:val="005C0223"/>
    <w:rsid w:val="005C0FFA"/>
    <w:rsid w:val="005C25D3"/>
    <w:rsid w:val="005C25DD"/>
    <w:rsid w:val="005C3304"/>
    <w:rsid w:val="005C3376"/>
    <w:rsid w:val="005C4092"/>
    <w:rsid w:val="005C4AE8"/>
    <w:rsid w:val="005C537E"/>
    <w:rsid w:val="005C5AD1"/>
    <w:rsid w:val="005C5B2D"/>
    <w:rsid w:val="005C6420"/>
    <w:rsid w:val="005C7907"/>
    <w:rsid w:val="005C7A19"/>
    <w:rsid w:val="005C7F7B"/>
    <w:rsid w:val="005D10F8"/>
    <w:rsid w:val="005D2483"/>
    <w:rsid w:val="005D28D1"/>
    <w:rsid w:val="005D2D66"/>
    <w:rsid w:val="005D2DD9"/>
    <w:rsid w:val="005D5D79"/>
    <w:rsid w:val="005D5F40"/>
    <w:rsid w:val="005D6269"/>
    <w:rsid w:val="005D634C"/>
    <w:rsid w:val="005D7BAA"/>
    <w:rsid w:val="005D7E35"/>
    <w:rsid w:val="005E0792"/>
    <w:rsid w:val="005E0D0A"/>
    <w:rsid w:val="005E161B"/>
    <w:rsid w:val="005E1B67"/>
    <w:rsid w:val="005E1E06"/>
    <w:rsid w:val="005E23F2"/>
    <w:rsid w:val="005E439E"/>
    <w:rsid w:val="005E5C23"/>
    <w:rsid w:val="005E6B00"/>
    <w:rsid w:val="005F1050"/>
    <w:rsid w:val="005F1D12"/>
    <w:rsid w:val="005F2198"/>
    <w:rsid w:val="005F2334"/>
    <w:rsid w:val="005F3074"/>
    <w:rsid w:val="005F41B6"/>
    <w:rsid w:val="005F506F"/>
    <w:rsid w:val="005F7043"/>
    <w:rsid w:val="005F7A06"/>
    <w:rsid w:val="005F7B4A"/>
    <w:rsid w:val="006006A0"/>
    <w:rsid w:val="00601585"/>
    <w:rsid w:val="00601901"/>
    <w:rsid w:val="00601DB3"/>
    <w:rsid w:val="00601E63"/>
    <w:rsid w:val="0060264E"/>
    <w:rsid w:val="006027BC"/>
    <w:rsid w:val="0060289F"/>
    <w:rsid w:val="0060333D"/>
    <w:rsid w:val="00604633"/>
    <w:rsid w:val="006054A3"/>
    <w:rsid w:val="00607161"/>
    <w:rsid w:val="006078D1"/>
    <w:rsid w:val="00610173"/>
    <w:rsid w:val="006106F6"/>
    <w:rsid w:val="00610EBB"/>
    <w:rsid w:val="00611922"/>
    <w:rsid w:val="00611C68"/>
    <w:rsid w:val="00612078"/>
    <w:rsid w:val="00614212"/>
    <w:rsid w:val="00614707"/>
    <w:rsid w:val="00614DB2"/>
    <w:rsid w:val="006162EE"/>
    <w:rsid w:val="00621E64"/>
    <w:rsid w:val="00623A90"/>
    <w:rsid w:val="00623D14"/>
    <w:rsid w:val="00625719"/>
    <w:rsid w:val="00626880"/>
    <w:rsid w:val="00627E0B"/>
    <w:rsid w:val="006305D8"/>
    <w:rsid w:val="00630C67"/>
    <w:rsid w:val="0063130D"/>
    <w:rsid w:val="006316E6"/>
    <w:rsid w:val="00633BC1"/>
    <w:rsid w:val="00634625"/>
    <w:rsid w:val="006346E4"/>
    <w:rsid w:val="00635313"/>
    <w:rsid w:val="00636445"/>
    <w:rsid w:val="00636603"/>
    <w:rsid w:val="00636E77"/>
    <w:rsid w:val="006400E4"/>
    <w:rsid w:val="0064051A"/>
    <w:rsid w:val="00641C7E"/>
    <w:rsid w:val="00642E73"/>
    <w:rsid w:val="0064335D"/>
    <w:rsid w:val="00644FC2"/>
    <w:rsid w:val="0064618C"/>
    <w:rsid w:val="006469DF"/>
    <w:rsid w:val="00646DB9"/>
    <w:rsid w:val="006501BB"/>
    <w:rsid w:val="00650D9E"/>
    <w:rsid w:val="00651096"/>
    <w:rsid w:val="006514D3"/>
    <w:rsid w:val="00651A3C"/>
    <w:rsid w:val="00651C5C"/>
    <w:rsid w:val="00652152"/>
    <w:rsid w:val="00652F32"/>
    <w:rsid w:val="0065328F"/>
    <w:rsid w:val="00653A99"/>
    <w:rsid w:val="00657473"/>
    <w:rsid w:val="00661475"/>
    <w:rsid w:val="00661D7A"/>
    <w:rsid w:val="00662052"/>
    <w:rsid w:val="00662509"/>
    <w:rsid w:val="00662608"/>
    <w:rsid w:val="00662DEF"/>
    <w:rsid w:val="00662F3C"/>
    <w:rsid w:val="00663552"/>
    <w:rsid w:val="00663972"/>
    <w:rsid w:val="00664A58"/>
    <w:rsid w:val="00664B8B"/>
    <w:rsid w:val="00664F6C"/>
    <w:rsid w:val="006666AF"/>
    <w:rsid w:val="0066711B"/>
    <w:rsid w:val="00667277"/>
    <w:rsid w:val="00670132"/>
    <w:rsid w:val="00670ABB"/>
    <w:rsid w:val="00670D7B"/>
    <w:rsid w:val="00671F28"/>
    <w:rsid w:val="00672A5C"/>
    <w:rsid w:val="00672A9B"/>
    <w:rsid w:val="00673316"/>
    <w:rsid w:val="00673B47"/>
    <w:rsid w:val="006744C7"/>
    <w:rsid w:val="006747EE"/>
    <w:rsid w:val="00674CDC"/>
    <w:rsid w:val="00675EE3"/>
    <w:rsid w:val="00676089"/>
    <w:rsid w:val="006763A9"/>
    <w:rsid w:val="006768E2"/>
    <w:rsid w:val="00677175"/>
    <w:rsid w:val="0067742E"/>
    <w:rsid w:val="00677B9B"/>
    <w:rsid w:val="00680309"/>
    <w:rsid w:val="00681064"/>
    <w:rsid w:val="006829D6"/>
    <w:rsid w:val="006831AE"/>
    <w:rsid w:val="0068342E"/>
    <w:rsid w:val="00683A6D"/>
    <w:rsid w:val="00683D23"/>
    <w:rsid w:val="00684DE3"/>
    <w:rsid w:val="00685564"/>
    <w:rsid w:val="006864F7"/>
    <w:rsid w:val="00687EBE"/>
    <w:rsid w:val="00690137"/>
    <w:rsid w:val="00690B84"/>
    <w:rsid w:val="00691EB3"/>
    <w:rsid w:val="00692747"/>
    <w:rsid w:val="0069324B"/>
    <w:rsid w:val="00693885"/>
    <w:rsid w:val="0069477E"/>
    <w:rsid w:val="00694E4C"/>
    <w:rsid w:val="00694FFA"/>
    <w:rsid w:val="00695FB0"/>
    <w:rsid w:val="00696ABA"/>
    <w:rsid w:val="006978F8"/>
    <w:rsid w:val="00697C2F"/>
    <w:rsid w:val="006A02E7"/>
    <w:rsid w:val="006A2844"/>
    <w:rsid w:val="006A3A96"/>
    <w:rsid w:val="006A4E37"/>
    <w:rsid w:val="006A5B20"/>
    <w:rsid w:val="006A5B50"/>
    <w:rsid w:val="006A6A60"/>
    <w:rsid w:val="006B0569"/>
    <w:rsid w:val="006B058F"/>
    <w:rsid w:val="006B0782"/>
    <w:rsid w:val="006B0B72"/>
    <w:rsid w:val="006B0D5D"/>
    <w:rsid w:val="006B120A"/>
    <w:rsid w:val="006B2B12"/>
    <w:rsid w:val="006B4043"/>
    <w:rsid w:val="006B44E0"/>
    <w:rsid w:val="006B5070"/>
    <w:rsid w:val="006B5A2A"/>
    <w:rsid w:val="006B5B34"/>
    <w:rsid w:val="006B5FAC"/>
    <w:rsid w:val="006B6877"/>
    <w:rsid w:val="006B696C"/>
    <w:rsid w:val="006B7D66"/>
    <w:rsid w:val="006C09FB"/>
    <w:rsid w:val="006C204E"/>
    <w:rsid w:val="006C287E"/>
    <w:rsid w:val="006C2944"/>
    <w:rsid w:val="006C3722"/>
    <w:rsid w:val="006C5A3A"/>
    <w:rsid w:val="006C5C3D"/>
    <w:rsid w:val="006C5C6E"/>
    <w:rsid w:val="006C5F87"/>
    <w:rsid w:val="006C5FAF"/>
    <w:rsid w:val="006C620F"/>
    <w:rsid w:val="006C7F92"/>
    <w:rsid w:val="006D0A16"/>
    <w:rsid w:val="006D24ED"/>
    <w:rsid w:val="006D264B"/>
    <w:rsid w:val="006D2A26"/>
    <w:rsid w:val="006D3A33"/>
    <w:rsid w:val="006D42F0"/>
    <w:rsid w:val="006D482E"/>
    <w:rsid w:val="006D486E"/>
    <w:rsid w:val="006D4D99"/>
    <w:rsid w:val="006D6168"/>
    <w:rsid w:val="006D782A"/>
    <w:rsid w:val="006E0853"/>
    <w:rsid w:val="006E25A7"/>
    <w:rsid w:val="006E35EC"/>
    <w:rsid w:val="006E3818"/>
    <w:rsid w:val="006E4CA0"/>
    <w:rsid w:val="006E505E"/>
    <w:rsid w:val="006F1CA6"/>
    <w:rsid w:val="006F21C3"/>
    <w:rsid w:val="006F2812"/>
    <w:rsid w:val="006F283D"/>
    <w:rsid w:val="006F2AD3"/>
    <w:rsid w:val="006F2D47"/>
    <w:rsid w:val="006F30E9"/>
    <w:rsid w:val="006F3619"/>
    <w:rsid w:val="006F4432"/>
    <w:rsid w:val="006F476F"/>
    <w:rsid w:val="006F4F21"/>
    <w:rsid w:val="00700E9A"/>
    <w:rsid w:val="00700F40"/>
    <w:rsid w:val="00703337"/>
    <w:rsid w:val="00703F2F"/>
    <w:rsid w:val="00704588"/>
    <w:rsid w:val="00705074"/>
    <w:rsid w:val="007053C3"/>
    <w:rsid w:val="0070653E"/>
    <w:rsid w:val="007066BA"/>
    <w:rsid w:val="007070A0"/>
    <w:rsid w:val="00707445"/>
    <w:rsid w:val="00707A75"/>
    <w:rsid w:val="00710E70"/>
    <w:rsid w:val="007119B4"/>
    <w:rsid w:val="007120B7"/>
    <w:rsid w:val="007120FC"/>
    <w:rsid w:val="00713535"/>
    <w:rsid w:val="0071608A"/>
    <w:rsid w:val="0071743D"/>
    <w:rsid w:val="00717C83"/>
    <w:rsid w:val="00720053"/>
    <w:rsid w:val="00720663"/>
    <w:rsid w:val="007208FA"/>
    <w:rsid w:val="007220D3"/>
    <w:rsid w:val="00724DAC"/>
    <w:rsid w:val="00726A10"/>
    <w:rsid w:val="00726F62"/>
    <w:rsid w:val="00727339"/>
    <w:rsid w:val="00727699"/>
    <w:rsid w:val="007306B0"/>
    <w:rsid w:val="007315D5"/>
    <w:rsid w:val="00731624"/>
    <w:rsid w:val="00731CE1"/>
    <w:rsid w:val="0073207C"/>
    <w:rsid w:val="00732D92"/>
    <w:rsid w:val="007333A6"/>
    <w:rsid w:val="00733B1E"/>
    <w:rsid w:val="00733F2A"/>
    <w:rsid w:val="0073470A"/>
    <w:rsid w:val="00734E15"/>
    <w:rsid w:val="0073632E"/>
    <w:rsid w:val="00736A20"/>
    <w:rsid w:val="0073713E"/>
    <w:rsid w:val="00737A9E"/>
    <w:rsid w:val="0074002C"/>
    <w:rsid w:val="00740FA2"/>
    <w:rsid w:val="007416B3"/>
    <w:rsid w:val="00744343"/>
    <w:rsid w:val="00744DBF"/>
    <w:rsid w:val="00745B8C"/>
    <w:rsid w:val="00746D7C"/>
    <w:rsid w:val="007471F6"/>
    <w:rsid w:val="00747384"/>
    <w:rsid w:val="00747661"/>
    <w:rsid w:val="007478D4"/>
    <w:rsid w:val="0074793E"/>
    <w:rsid w:val="00750263"/>
    <w:rsid w:val="007509C6"/>
    <w:rsid w:val="00750E43"/>
    <w:rsid w:val="0075146C"/>
    <w:rsid w:val="00752195"/>
    <w:rsid w:val="00753086"/>
    <w:rsid w:val="007544A4"/>
    <w:rsid w:val="00754FF2"/>
    <w:rsid w:val="00755A9C"/>
    <w:rsid w:val="007561A2"/>
    <w:rsid w:val="00760C4F"/>
    <w:rsid w:val="00761A4F"/>
    <w:rsid w:val="00762622"/>
    <w:rsid w:val="00763152"/>
    <w:rsid w:val="00763ABF"/>
    <w:rsid w:val="00763D5E"/>
    <w:rsid w:val="00765EE4"/>
    <w:rsid w:val="00767382"/>
    <w:rsid w:val="007716CF"/>
    <w:rsid w:val="00772D65"/>
    <w:rsid w:val="007739FF"/>
    <w:rsid w:val="00773E4E"/>
    <w:rsid w:val="0077473E"/>
    <w:rsid w:val="00774E92"/>
    <w:rsid w:val="00775570"/>
    <w:rsid w:val="007758C4"/>
    <w:rsid w:val="007759FD"/>
    <w:rsid w:val="0077682C"/>
    <w:rsid w:val="00777473"/>
    <w:rsid w:val="007807D7"/>
    <w:rsid w:val="00781C94"/>
    <w:rsid w:val="0078395E"/>
    <w:rsid w:val="00783DB7"/>
    <w:rsid w:val="00783ED1"/>
    <w:rsid w:val="00783F79"/>
    <w:rsid w:val="00784897"/>
    <w:rsid w:val="00784F95"/>
    <w:rsid w:val="007859C2"/>
    <w:rsid w:val="00787ED9"/>
    <w:rsid w:val="007906C1"/>
    <w:rsid w:val="00790E8A"/>
    <w:rsid w:val="007920F3"/>
    <w:rsid w:val="0079333F"/>
    <w:rsid w:val="0079338C"/>
    <w:rsid w:val="0079339F"/>
    <w:rsid w:val="0079387C"/>
    <w:rsid w:val="00795803"/>
    <w:rsid w:val="00795ED5"/>
    <w:rsid w:val="007963AF"/>
    <w:rsid w:val="00796552"/>
    <w:rsid w:val="00797B86"/>
    <w:rsid w:val="00797CBD"/>
    <w:rsid w:val="007A0AC8"/>
    <w:rsid w:val="007A0B05"/>
    <w:rsid w:val="007A116D"/>
    <w:rsid w:val="007A1D85"/>
    <w:rsid w:val="007A1F40"/>
    <w:rsid w:val="007A26E9"/>
    <w:rsid w:val="007A314F"/>
    <w:rsid w:val="007A3BCA"/>
    <w:rsid w:val="007A40CE"/>
    <w:rsid w:val="007A4D78"/>
    <w:rsid w:val="007A4E69"/>
    <w:rsid w:val="007A58C6"/>
    <w:rsid w:val="007A5A78"/>
    <w:rsid w:val="007A5F78"/>
    <w:rsid w:val="007A6B7B"/>
    <w:rsid w:val="007B2A28"/>
    <w:rsid w:val="007B34DE"/>
    <w:rsid w:val="007B6159"/>
    <w:rsid w:val="007B6620"/>
    <w:rsid w:val="007B75AF"/>
    <w:rsid w:val="007B7E50"/>
    <w:rsid w:val="007C0608"/>
    <w:rsid w:val="007C0793"/>
    <w:rsid w:val="007C10CF"/>
    <w:rsid w:val="007C1414"/>
    <w:rsid w:val="007C1CD8"/>
    <w:rsid w:val="007C2116"/>
    <w:rsid w:val="007C270B"/>
    <w:rsid w:val="007C2B61"/>
    <w:rsid w:val="007C2FD9"/>
    <w:rsid w:val="007C4DBF"/>
    <w:rsid w:val="007C4F38"/>
    <w:rsid w:val="007C561D"/>
    <w:rsid w:val="007C65B3"/>
    <w:rsid w:val="007C6744"/>
    <w:rsid w:val="007C754A"/>
    <w:rsid w:val="007C7B36"/>
    <w:rsid w:val="007D0228"/>
    <w:rsid w:val="007D0F2B"/>
    <w:rsid w:val="007D1FFE"/>
    <w:rsid w:val="007D259E"/>
    <w:rsid w:val="007D2B6D"/>
    <w:rsid w:val="007D2D7C"/>
    <w:rsid w:val="007D3E44"/>
    <w:rsid w:val="007D476F"/>
    <w:rsid w:val="007D4F6D"/>
    <w:rsid w:val="007D6265"/>
    <w:rsid w:val="007D6C6E"/>
    <w:rsid w:val="007D6D18"/>
    <w:rsid w:val="007D6DE2"/>
    <w:rsid w:val="007E1E03"/>
    <w:rsid w:val="007E1F69"/>
    <w:rsid w:val="007E1FB8"/>
    <w:rsid w:val="007E3677"/>
    <w:rsid w:val="007E396F"/>
    <w:rsid w:val="007E3977"/>
    <w:rsid w:val="007E4406"/>
    <w:rsid w:val="007E66CD"/>
    <w:rsid w:val="007E69C1"/>
    <w:rsid w:val="007E7519"/>
    <w:rsid w:val="007E75A7"/>
    <w:rsid w:val="007E7DC0"/>
    <w:rsid w:val="007F179F"/>
    <w:rsid w:val="007F1C87"/>
    <w:rsid w:val="007F1FED"/>
    <w:rsid w:val="007F2AAD"/>
    <w:rsid w:val="007F2F5C"/>
    <w:rsid w:val="007F47A5"/>
    <w:rsid w:val="007F541B"/>
    <w:rsid w:val="007F584D"/>
    <w:rsid w:val="007F7241"/>
    <w:rsid w:val="00800455"/>
    <w:rsid w:val="008008A5"/>
    <w:rsid w:val="0080130A"/>
    <w:rsid w:val="008015C7"/>
    <w:rsid w:val="0080178D"/>
    <w:rsid w:val="00801A76"/>
    <w:rsid w:val="00801E94"/>
    <w:rsid w:val="00802136"/>
    <w:rsid w:val="00802A66"/>
    <w:rsid w:val="008037F0"/>
    <w:rsid w:val="00803F65"/>
    <w:rsid w:val="0080500F"/>
    <w:rsid w:val="0080569F"/>
    <w:rsid w:val="00805FB6"/>
    <w:rsid w:val="008064E5"/>
    <w:rsid w:val="00806BC3"/>
    <w:rsid w:val="00806F80"/>
    <w:rsid w:val="00807669"/>
    <w:rsid w:val="008101D1"/>
    <w:rsid w:val="008102A1"/>
    <w:rsid w:val="00812EF9"/>
    <w:rsid w:val="00814791"/>
    <w:rsid w:val="0081585B"/>
    <w:rsid w:val="00815B6A"/>
    <w:rsid w:val="00815C15"/>
    <w:rsid w:val="008179F3"/>
    <w:rsid w:val="00817E17"/>
    <w:rsid w:val="00817FD3"/>
    <w:rsid w:val="00821232"/>
    <w:rsid w:val="00821F18"/>
    <w:rsid w:val="008224B6"/>
    <w:rsid w:val="00822DB1"/>
    <w:rsid w:val="0082332D"/>
    <w:rsid w:val="00824125"/>
    <w:rsid w:val="00824961"/>
    <w:rsid w:val="00824AB3"/>
    <w:rsid w:val="00825ECE"/>
    <w:rsid w:val="008266D6"/>
    <w:rsid w:val="00827D2A"/>
    <w:rsid w:val="0083032B"/>
    <w:rsid w:val="0083055B"/>
    <w:rsid w:val="008305DC"/>
    <w:rsid w:val="00830A42"/>
    <w:rsid w:val="00830F0F"/>
    <w:rsid w:val="0083211C"/>
    <w:rsid w:val="0083243E"/>
    <w:rsid w:val="0083340F"/>
    <w:rsid w:val="008342CF"/>
    <w:rsid w:val="00834389"/>
    <w:rsid w:val="00834EE8"/>
    <w:rsid w:val="00835E1E"/>
    <w:rsid w:val="00836D16"/>
    <w:rsid w:val="00837108"/>
    <w:rsid w:val="008373C1"/>
    <w:rsid w:val="00837EF1"/>
    <w:rsid w:val="008407D2"/>
    <w:rsid w:val="008412D3"/>
    <w:rsid w:val="00841302"/>
    <w:rsid w:val="0084232B"/>
    <w:rsid w:val="00842791"/>
    <w:rsid w:val="00844E99"/>
    <w:rsid w:val="008459B5"/>
    <w:rsid w:val="008469BF"/>
    <w:rsid w:val="00846F50"/>
    <w:rsid w:val="0085088E"/>
    <w:rsid w:val="008518B7"/>
    <w:rsid w:val="00852729"/>
    <w:rsid w:val="00852DDD"/>
    <w:rsid w:val="00852E8C"/>
    <w:rsid w:val="00854FDA"/>
    <w:rsid w:val="00855B1C"/>
    <w:rsid w:val="008563DC"/>
    <w:rsid w:val="00856EB5"/>
    <w:rsid w:val="0085745F"/>
    <w:rsid w:val="0086061A"/>
    <w:rsid w:val="00860652"/>
    <w:rsid w:val="00863FC6"/>
    <w:rsid w:val="00864430"/>
    <w:rsid w:val="00864B40"/>
    <w:rsid w:val="008665B8"/>
    <w:rsid w:val="00866EAC"/>
    <w:rsid w:val="008701C4"/>
    <w:rsid w:val="00871951"/>
    <w:rsid w:val="00871D2B"/>
    <w:rsid w:val="008726EE"/>
    <w:rsid w:val="00873190"/>
    <w:rsid w:val="008733BF"/>
    <w:rsid w:val="00873A66"/>
    <w:rsid w:val="00877AD7"/>
    <w:rsid w:val="00877F94"/>
    <w:rsid w:val="00880612"/>
    <w:rsid w:val="008809B7"/>
    <w:rsid w:val="008812DC"/>
    <w:rsid w:val="00881349"/>
    <w:rsid w:val="00881835"/>
    <w:rsid w:val="0088188C"/>
    <w:rsid w:val="008819E1"/>
    <w:rsid w:val="00882182"/>
    <w:rsid w:val="00882CD5"/>
    <w:rsid w:val="00884726"/>
    <w:rsid w:val="0088487B"/>
    <w:rsid w:val="0088588B"/>
    <w:rsid w:val="00885FB8"/>
    <w:rsid w:val="008861C2"/>
    <w:rsid w:val="008869C5"/>
    <w:rsid w:val="008872A0"/>
    <w:rsid w:val="008910BD"/>
    <w:rsid w:val="008911EB"/>
    <w:rsid w:val="0089279B"/>
    <w:rsid w:val="0089362E"/>
    <w:rsid w:val="0089568A"/>
    <w:rsid w:val="008967F9"/>
    <w:rsid w:val="00896B26"/>
    <w:rsid w:val="00896B7C"/>
    <w:rsid w:val="008971B9"/>
    <w:rsid w:val="008977CC"/>
    <w:rsid w:val="00897F2E"/>
    <w:rsid w:val="008A03A6"/>
    <w:rsid w:val="008A2480"/>
    <w:rsid w:val="008A2630"/>
    <w:rsid w:val="008A2989"/>
    <w:rsid w:val="008A2BED"/>
    <w:rsid w:val="008A3AED"/>
    <w:rsid w:val="008A3D58"/>
    <w:rsid w:val="008A452F"/>
    <w:rsid w:val="008A5B0B"/>
    <w:rsid w:val="008A697D"/>
    <w:rsid w:val="008A6BD7"/>
    <w:rsid w:val="008A7E70"/>
    <w:rsid w:val="008B02D8"/>
    <w:rsid w:val="008B0C02"/>
    <w:rsid w:val="008B1E3F"/>
    <w:rsid w:val="008B491C"/>
    <w:rsid w:val="008B5BE1"/>
    <w:rsid w:val="008B65B1"/>
    <w:rsid w:val="008C1506"/>
    <w:rsid w:val="008C369A"/>
    <w:rsid w:val="008C3F9D"/>
    <w:rsid w:val="008C470E"/>
    <w:rsid w:val="008C508C"/>
    <w:rsid w:val="008C5128"/>
    <w:rsid w:val="008C513F"/>
    <w:rsid w:val="008C52ED"/>
    <w:rsid w:val="008C62A1"/>
    <w:rsid w:val="008C6460"/>
    <w:rsid w:val="008C67D8"/>
    <w:rsid w:val="008C727D"/>
    <w:rsid w:val="008C78C6"/>
    <w:rsid w:val="008C7F66"/>
    <w:rsid w:val="008D0E91"/>
    <w:rsid w:val="008D1763"/>
    <w:rsid w:val="008D2174"/>
    <w:rsid w:val="008D3DF4"/>
    <w:rsid w:val="008D412A"/>
    <w:rsid w:val="008D482D"/>
    <w:rsid w:val="008D4F3D"/>
    <w:rsid w:val="008D54F5"/>
    <w:rsid w:val="008D5E23"/>
    <w:rsid w:val="008D76FE"/>
    <w:rsid w:val="008D779E"/>
    <w:rsid w:val="008E04E1"/>
    <w:rsid w:val="008E0DE9"/>
    <w:rsid w:val="008E1016"/>
    <w:rsid w:val="008E3A80"/>
    <w:rsid w:val="008E48AB"/>
    <w:rsid w:val="008E4C3C"/>
    <w:rsid w:val="008E538A"/>
    <w:rsid w:val="008E6549"/>
    <w:rsid w:val="008E6A4E"/>
    <w:rsid w:val="008E6F32"/>
    <w:rsid w:val="008E70C0"/>
    <w:rsid w:val="008E7606"/>
    <w:rsid w:val="008E7D4B"/>
    <w:rsid w:val="008F187C"/>
    <w:rsid w:val="008F3B48"/>
    <w:rsid w:val="008F3FDC"/>
    <w:rsid w:val="008F44B0"/>
    <w:rsid w:val="008F4751"/>
    <w:rsid w:val="008F4A7D"/>
    <w:rsid w:val="008F5A8D"/>
    <w:rsid w:val="008F5CAD"/>
    <w:rsid w:val="008F62B5"/>
    <w:rsid w:val="008F633F"/>
    <w:rsid w:val="008F6D98"/>
    <w:rsid w:val="008F786F"/>
    <w:rsid w:val="008F7E63"/>
    <w:rsid w:val="008F7FB5"/>
    <w:rsid w:val="009008E5"/>
    <w:rsid w:val="00900B66"/>
    <w:rsid w:val="0090102D"/>
    <w:rsid w:val="009010B5"/>
    <w:rsid w:val="0090135D"/>
    <w:rsid w:val="00901733"/>
    <w:rsid w:val="00901D6B"/>
    <w:rsid w:val="00901F5C"/>
    <w:rsid w:val="00902D61"/>
    <w:rsid w:val="009031DB"/>
    <w:rsid w:val="00903C3E"/>
    <w:rsid w:val="00904F23"/>
    <w:rsid w:val="00905514"/>
    <w:rsid w:val="009056BF"/>
    <w:rsid w:val="00905AB3"/>
    <w:rsid w:val="0090632D"/>
    <w:rsid w:val="0090671B"/>
    <w:rsid w:val="0090671D"/>
    <w:rsid w:val="0091046E"/>
    <w:rsid w:val="009104F0"/>
    <w:rsid w:val="00910968"/>
    <w:rsid w:val="00910B12"/>
    <w:rsid w:val="00910CE2"/>
    <w:rsid w:val="009110AC"/>
    <w:rsid w:val="009110DF"/>
    <w:rsid w:val="00911153"/>
    <w:rsid w:val="00911475"/>
    <w:rsid w:val="009119DA"/>
    <w:rsid w:val="00911C7B"/>
    <w:rsid w:val="00912291"/>
    <w:rsid w:val="0091241A"/>
    <w:rsid w:val="0091270C"/>
    <w:rsid w:val="00912F40"/>
    <w:rsid w:val="0091301B"/>
    <w:rsid w:val="009145F0"/>
    <w:rsid w:val="0091570D"/>
    <w:rsid w:val="00915A9C"/>
    <w:rsid w:val="00915C2B"/>
    <w:rsid w:val="00916723"/>
    <w:rsid w:val="00916FDC"/>
    <w:rsid w:val="0092072F"/>
    <w:rsid w:val="00920841"/>
    <w:rsid w:val="009209CD"/>
    <w:rsid w:val="009209D4"/>
    <w:rsid w:val="00920C72"/>
    <w:rsid w:val="009210D5"/>
    <w:rsid w:val="00921381"/>
    <w:rsid w:val="009224FA"/>
    <w:rsid w:val="00922CE2"/>
    <w:rsid w:val="00923109"/>
    <w:rsid w:val="009238F6"/>
    <w:rsid w:val="00923FA0"/>
    <w:rsid w:val="009256A3"/>
    <w:rsid w:val="009258DD"/>
    <w:rsid w:val="00925C4C"/>
    <w:rsid w:val="009262D6"/>
    <w:rsid w:val="0092633A"/>
    <w:rsid w:val="00926E24"/>
    <w:rsid w:val="0093029C"/>
    <w:rsid w:val="00931AA2"/>
    <w:rsid w:val="00931BA7"/>
    <w:rsid w:val="00935463"/>
    <w:rsid w:val="00936C64"/>
    <w:rsid w:val="009414C2"/>
    <w:rsid w:val="00941D67"/>
    <w:rsid w:val="00942F0C"/>
    <w:rsid w:val="0094330D"/>
    <w:rsid w:val="009457C7"/>
    <w:rsid w:val="00947329"/>
    <w:rsid w:val="00947CAA"/>
    <w:rsid w:val="009500B5"/>
    <w:rsid w:val="00950B68"/>
    <w:rsid w:val="00950B7B"/>
    <w:rsid w:val="00951AEC"/>
    <w:rsid w:val="0095220E"/>
    <w:rsid w:val="00952F6F"/>
    <w:rsid w:val="00953AC9"/>
    <w:rsid w:val="00954409"/>
    <w:rsid w:val="00955CC6"/>
    <w:rsid w:val="00955E5D"/>
    <w:rsid w:val="00956652"/>
    <w:rsid w:val="00956876"/>
    <w:rsid w:val="00956E74"/>
    <w:rsid w:val="00956F9A"/>
    <w:rsid w:val="00957582"/>
    <w:rsid w:val="009578D2"/>
    <w:rsid w:val="00957F56"/>
    <w:rsid w:val="0096003A"/>
    <w:rsid w:val="00960E10"/>
    <w:rsid w:val="0096158C"/>
    <w:rsid w:val="0096175B"/>
    <w:rsid w:val="00961840"/>
    <w:rsid w:val="00961AAE"/>
    <w:rsid w:val="009626BA"/>
    <w:rsid w:val="00962ECF"/>
    <w:rsid w:val="00963B39"/>
    <w:rsid w:val="009666A5"/>
    <w:rsid w:val="00966774"/>
    <w:rsid w:val="00966966"/>
    <w:rsid w:val="00966976"/>
    <w:rsid w:val="00967819"/>
    <w:rsid w:val="00967F44"/>
    <w:rsid w:val="009700C8"/>
    <w:rsid w:val="009701E3"/>
    <w:rsid w:val="00970611"/>
    <w:rsid w:val="009707E1"/>
    <w:rsid w:val="00970AF0"/>
    <w:rsid w:val="00970B63"/>
    <w:rsid w:val="00971443"/>
    <w:rsid w:val="009714D9"/>
    <w:rsid w:val="00971E2F"/>
    <w:rsid w:val="009720B8"/>
    <w:rsid w:val="00972284"/>
    <w:rsid w:val="0097256E"/>
    <w:rsid w:val="00972B9C"/>
    <w:rsid w:val="00972D65"/>
    <w:rsid w:val="0097312B"/>
    <w:rsid w:val="00973790"/>
    <w:rsid w:val="009737C4"/>
    <w:rsid w:val="00973B3C"/>
    <w:rsid w:val="00973BCD"/>
    <w:rsid w:val="00975175"/>
    <w:rsid w:val="00977BDF"/>
    <w:rsid w:val="00977C1F"/>
    <w:rsid w:val="00980183"/>
    <w:rsid w:val="00982202"/>
    <w:rsid w:val="009834D0"/>
    <w:rsid w:val="00983CC2"/>
    <w:rsid w:val="009848DA"/>
    <w:rsid w:val="00984AB7"/>
    <w:rsid w:val="009856DD"/>
    <w:rsid w:val="00985C24"/>
    <w:rsid w:val="00986831"/>
    <w:rsid w:val="00990038"/>
    <w:rsid w:val="009901C0"/>
    <w:rsid w:val="0099130C"/>
    <w:rsid w:val="009914C9"/>
    <w:rsid w:val="0099194D"/>
    <w:rsid w:val="00991F23"/>
    <w:rsid w:val="00992785"/>
    <w:rsid w:val="00993413"/>
    <w:rsid w:val="00994243"/>
    <w:rsid w:val="0099449E"/>
    <w:rsid w:val="00995136"/>
    <w:rsid w:val="00995D1B"/>
    <w:rsid w:val="009963DD"/>
    <w:rsid w:val="00996B94"/>
    <w:rsid w:val="0099767F"/>
    <w:rsid w:val="00997D09"/>
    <w:rsid w:val="009A1664"/>
    <w:rsid w:val="009A2B29"/>
    <w:rsid w:val="009A356D"/>
    <w:rsid w:val="009A3FD8"/>
    <w:rsid w:val="009A410A"/>
    <w:rsid w:val="009A4E4E"/>
    <w:rsid w:val="009A5965"/>
    <w:rsid w:val="009A5972"/>
    <w:rsid w:val="009A5D62"/>
    <w:rsid w:val="009A6A96"/>
    <w:rsid w:val="009B000B"/>
    <w:rsid w:val="009B037A"/>
    <w:rsid w:val="009B0E15"/>
    <w:rsid w:val="009B2CE7"/>
    <w:rsid w:val="009B4E4A"/>
    <w:rsid w:val="009B53AE"/>
    <w:rsid w:val="009B57CA"/>
    <w:rsid w:val="009B6244"/>
    <w:rsid w:val="009C0E88"/>
    <w:rsid w:val="009C15B7"/>
    <w:rsid w:val="009C1BC1"/>
    <w:rsid w:val="009C1E70"/>
    <w:rsid w:val="009C23E1"/>
    <w:rsid w:val="009C2B8B"/>
    <w:rsid w:val="009C2BAF"/>
    <w:rsid w:val="009C3A61"/>
    <w:rsid w:val="009C3FD1"/>
    <w:rsid w:val="009C5DA6"/>
    <w:rsid w:val="009C71B6"/>
    <w:rsid w:val="009C771E"/>
    <w:rsid w:val="009D006C"/>
    <w:rsid w:val="009D25AD"/>
    <w:rsid w:val="009D2781"/>
    <w:rsid w:val="009D2E78"/>
    <w:rsid w:val="009D321B"/>
    <w:rsid w:val="009D3D0D"/>
    <w:rsid w:val="009D5B9C"/>
    <w:rsid w:val="009D5D65"/>
    <w:rsid w:val="009D663A"/>
    <w:rsid w:val="009D69A8"/>
    <w:rsid w:val="009E10B3"/>
    <w:rsid w:val="009E16BB"/>
    <w:rsid w:val="009E2D8C"/>
    <w:rsid w:val="009E3B4A"/>
    <w:rsid w:val="009E3F6F"/>
    <w:rsid w:val="009E5E7B"/>
    <w:rsid w:val="009E66F9"/>
    <w:rsid w:val="009E7BDB"/>
    <w:rsid w:val="009F0A09"/>
    <w:rsid w:val="009F240E"/>
    <w:rsid w:val="009F28D7"/>
    <w:rsid w:val="009F2BF5"/>
    <w:rsid w:val="009F4C8D"/>
    <w:rsid w:val="009F4F93"/>
    <w:rsid w:val="009F6197"/>
    <w:rsid w:val="009F61F7"/>
    <w:rsid w:val="009F7175"/>
    <w:rsid w:val="00A001AA"/>
    <w:rsid w:val="00A02633"/>
    <w:rsid w:val="00A02F06"/>
    <w:rsid w:val="00A03AFA"/>
    <w:rsid w:val="00A03E60"/>
    <w:rsid w:val="00A045F7"/>
    <w:rsid w:val="00A0640F"/>
    <w:rsid w:val="00A06D12"/>
    <w:rsid w:val="00A06D78"/>
    <w:rsid w:val="00A07B5D"/>
    <w:rsid w:val="00A10EE2"/>
    <w:rsid w:val="00A112B4"/>
    <w:rsid w:val="00A11333"/>
    <w:rsid w:val="00A11373"/>
    <w:rsid w:val="00A1271D"/>
    <w:rsid w:val="00A12E77"/>
    <w:rsid w:val="00A13320"/>
    <w:rsid w:val="00A137C9"/>
    <w:rsid w:val="00A1394E"/>
    <w:rsid w:val="00A14F7E"/>
    <w:rsid w:val="00A160C9"/>
    <w:rsid w:val="00A164C4"/>
    <w:rsid w:val="00A17811"/>
    <w:rsid w:val="00A201F9"/>
    <w:rsid w:val="00A20FF6"/>
    <w:rsid w:val="00A21C9D"/>
    <w:rsid w:val="00A24EA8"/>
    <w:rsid w:val="00A24FF8"/>
    <w:rsid w:val="00A26A42"/>
    <w:rsid w:val="00A2744A"/>
    <w:rsid w:val="00A2788E"/>
    <w:rsid w:val="00A309D8"/>
    <w:rsid w:val="00A30F14"/>
    <w:rsid w:val="00A31B36"/>
    <w:rsid w:val="00A31B88"/>
    <w:rsid w:val="00A32738"/>
    <w:rsid w:val="00A34E39"/>
    <w:rsid w:val="00A356A2"/>
    <w:rsid w:val="00A35836"/>
    <w:rsid w:val="00A35F41"/>
    <w:rsid w:val="00A36AE3"/>
    <w:rsid w:val="00A379C4"/>
    <w:rsid w:val="00A4001C"/>
    <w:rsid w:val="00A404E5"/>
    <w:rsid w:val="00A40661"/>
    <w:rsid w:val="00A40AF3"/>
    <w:rsid w:val="00A412DA"/>
    <w:rsid w:val="00A4130A"/>
    <w:rsid w:val="00A41EDA"/>
    <w:rsid w:val="00A428BB"/>
    <w:rsid w:val="00A43E44"/>
    <w:rsid w:val="00A442C3"/>
    <w:rsid w:val="00A44CC6"/>
    <w:rsid w:val="00A45861"/>
    <w:rsid w:val="00A45F5C"/>
    <w:rsid w:val="00A46428"/>
    <w:rsid w:val="00A52358"/>
    <w:rsid w:val="00A52DFA"/>
    <w:rsid w:val="00A540E1"/>
    <w:rsid w:val="00A55758"/>
    <w:rsid w:val="00A564A0"/>
    <w:rsid w:val="00A56FA0"/>
    <w:rsid w:val="00A60715"/>
    <w:rsid w:val="00A615A6"/>
    <w:rsid w:val="00A616C8"/>
    <w:rsid w:val="00A62249"/>
    <w:rsid w:val="00A62DA3"/>
    <w:rsid w:val="00A65567"/>
    <w:rsid w:val="00A65E21"/>
    <w:rsid w:val="00A65EF9"/>
    <w:rsid w:val="00A66C8F"/>
    <w:rsid w:val="00A66D15"/>
    <w:rsid w:val="00A6724A"/>
    <w:rsid w:val="00A672A5"/>
    <w:rsid w:val="00A6758B"/>
    <w:rsid w:val="00A70012"/>
    <w:rsid w:val="00A7167F"/>
    <w:rsid w:val="00A71A12"/>
    <w:rsid w:val="00A73A70"/>
    <w:rsid w:val="00A744DF"/>
    <w:rsid w:val="00A74964"/>
    <w:rsid w:val="00A7593A"/>
    <w:rsid w:val="00A75DF9"/>
    <w:rsid w:val="00A7690B"/>
    <w:rsid w:val="00A76B62"/>
    <w:rsid w:val="00A77BBC"/>
    <w:rsid w:val="00A808A9"/>
    <w:rsid w:val="00A80CC4"/>
    <w:rsid w:val="00A80ECF"/>
    <w:rsid w:val="00A811C4"/>
    <w:rsid w:val="00A811CB"/>
    <w:rsid w:val="00A819B5"/>
    <w:rsid w:val="00A81C0F"/>
    <w:rsid w:val="00A840EC"/>
    <w:rsid w:val="00A84766"/>
    <w:rsid w:val="00A85823"/>
    <w:rsid w:val="00A86011"/>
    <w:rsid w:val="00A86AFA"/>
    <w:rsid w:val="00A86B1F"/>
    <w:rsid w:val="00A86C0F"/>
    <w:rsid w:val="00A87C16"/>
    <w:rsid w:val="00A90A1E"/>
    <w:rsid w:val="00A90A2B"/>
    <w:rsid w:val="00A90F3B"/>
    <w:rsid w:val="00A91BF6"/>
    <w:rsid w:val="00A9280A"/>
    <w:rsid w:val="00A94F88"/>
    <w:rsid w:val="00A951D1"/>
    <w:rsid w:val="00A9531F"/>
    <w:rsid w:val="00A96006"/>
    <w:rsid w:val="00A965A3"/>
    <w:rsid w:val="00A966B5"/>
    <w:rsid w:val="00A97145"/>
    <w:rsid w:val="00A97347"/>
    <w:rsid w:val="00A97A9F"/>
    <w:rsid w:val="00AA1466"/>
    <w:rsid w:val="00AA2A53"/>
    <w:rsid w:val="00AA3056"/>
    <w:rsid w:val="00AA337E"/>
    <w:rsid w:val="00AA3A21"/>
    <w:rsid w:val="00AA416E"/>
    <w:rsid w:val="00AA43D1"/>
    <w:rsid w:val="00AA4A96"/>
    <w:rsid w:val="00AA53CD"/>
    <w:rsid w:val="00AA5617"/>
    <w:rsid w:val="00AA5976"/>
    <w:rsid w:val="00AA65A1"/>
    <w:rsid w:val="00AA6C54"/>
    <w:rsid w:val="00AA7E55"/>
    <w:rsid w:val="00AB074E"/>
    <w:rsid w:val="00AB0E40"/>
    <w:rsid w:val="00AB27D2"/>
    <w:rsid w:val="00AB2A08"/>
    <w:rsid w:val="00AB3D80"/>
    <w:rsid w:val="00AB46C5"/>
    <w:rsid w:val="00AB4BCE"/>
    <w:rsid w:val="00AB5648"/>
    <w:rsid w:val="00AB56D7"/>
    <w:rsid w:val="00AB5BFB"/>
    <w:rsid w:val="00AB5F4D"/>
    <w:rsid w:val="00AB5FEE"/>
    <w:rsid w:val="00AB7B35"/>
    <w:rsid w:val="00AB7EB2"/>
    <w:rsid w:val="00AB7EF9"/>
    <w:rsid w:val="00AC056D"/>
    <w:rsid w:val="00AC0F8F"/>
    <w:rsid w:val="00AC1452"/>
    <w:rsid w:val="00AC147F"/>
    <w:rsid w:val="00AC265A"/>
    <w:rsid w:val="00AC3B5F"/>
    <w:rsid w:val="00AC4097"/>
    <w:rsid w:val="00AC4911"/>
    <w:rsid w:val="00AC4A42"/>
    <w:rsid w:val="00AC58AB"/>
    <w:rsid w:val="00AC7D89"/>
    <w:rsid w:val="00AD02B6"/>
    <w:rsid w:val="00AD0374"/>
    <w:rsid w:val="00AD066F"/>
    <w:rsid w:val="00AD0918"/>
    <w:rsid w:val="00AD1500"/>
    <w:rsid w:val="00AD1821"/>
    <w:rsid w:val="00AD1F35"/>
    <w:rsid w:val="00AD1FD4"/>
    <w:rsid w:val="00AD25BC"/>
    <w:rsid w:val="00AD31AB"/>
    <w:rsid w:val="00AD3826"/>
    <w:rsid w:val="00AD3C9D"/>
    <w:rsid w:val="00AD44C0"/>
    <w:rsid w:val="00AD4845"/>
    <w:rsid w:val="00AD4F93"/>
    <w:rsid w:val="00AD6DCB"/>
    <w:rsid w:val="00AD7009"/>
    <w:rsid w:val="00AD72D3"/>
    <w:rsid w:val="00AD747C"/>
    <w:rsid w:val="00AD751B"/>
    <w:rsid w:val="00AE02C1"/>
    <w:rsid w:val="00AE0449"/>
    <w:rsid w:val="00AE067C"/>
    <w:rsid w:val="00AE0AF3"/>
    <w:rsid w:val="00AE1102"/>
    <w:rsid w:val="00AE17FD"/>
    <w:rsid w:val="00AE1989"/>
    <w:rsid w:val="00AE2958"/>
    <w:rsid w:val="00AE2BD0"/>
    <w:rsid w:val="00AE3693"/>
    <w:rsid w:val="00AE38E5"/>
    <w:rsid w:val="00AE5195"/>
    <w:rsid w:val="00AE5F6D"/>
    <w:rsid w:val="00AE6424"/>
    <w:rsid w:val="00AE666F"/>
    <w:rsid w:val="00AE7178"/>
    <w:rsid w:val="00AF054B"/>
    <w:rsid w:val="00AF0906"/>
    <w:rsid w:val="00AF0DDE"/>
    <w:rsid w:val="00AF15EA"/>
    <w:rsid w:val="00AF244A"/>
    <w:rsid w:val="00AF2989"/>
    <w:rsid w:val="00AF3A7E"/>
    <w:rsid w:val="00AF3B18"/>
    <w:rsid w:val="00AF4F51"/>
    <w:rsid w:val="00AF53B0"/>
    <w:rsid w:val="00AF55EF"/>
    <w:rsid w:val="00AF6481"/>
    <w:rsid w:val="00AF686C"/>
    <w:rsid w:val="00AF6DE0"/>
    <w:rsid w:val="00AF6FBD"/>
    <w:rsid w:val="00AF7F83"/>
    <w:rsid w:val="00B003AF"/>
    <w:rsid w:val="00B00AA2"/>
    <w:rsid w:val="00B01756"/>
    <w:rsid w:val="00B01784"/>
    <w:rsid w:val="00B021C4"/>
    <w:rsid w:val="00B028DC"/>
    <w:rsid w:val="00B0347F"/>
    <w:rsid w:val="00B03C4E"/>
    <w:rsid w:val="00B05C2D"/>
    <w:rsid w:val="00B05F11"/>
    <w:rsid w:val="00B0609E"/>
    <w:rsid w:val="00B063FC"/>
    <w:rsid w:val="00B06530"/>
    <w:rsid w:val="00B0733E"/>
    <w:rsid w:val="00B102EA"/>
    <w:rsid w:val="00B10B68"/>
    <w:rsid w:val="00B10BE5"/>
    <w:rsid w:val="00B11913"/>
    <w:rsid w:val="00B1369F"/>
    <w:rsid w:val="00B14D45"/>
    <w:rsid w:val="00B1500F"/>
    <w:rsid w:val="00B169B1"/>
    <w:rsid w:val="00B17A2A"/>
    <w:rsid w:val="00B17DF2"/>
    <w:rsid w:val="00B2031A"/>
    <w:rsid w:val="00B223BA"/>
    <w:rsid w:val="00B22CC6"/>
    <w:rsid w:val="00B23561"/>
    <w:rsid w:val="00B23789"/>
    <w:rsid w:val="00B23BCB"/>
    <w:rsid w:val="00B23E2B"/>
    <w:rsid w:val="00B24121"/>
    <w:rsid w:val="00B25149"/>
    <w:rsid w:val="00B258B2"/>
    <w:rsid w:val="00B26B80"/>
    <w:rsid w:val="00B27514"/>
    <w:rsid w:val="00B279A8"/>
    <w:rsid w:val="00B30624"/>
    <w:rsid w:val="00B30DE9"/>
    <w:rsid w:val="00B31191"/>
    <w:rsid w:val="00B327DE"/>
    <w:rsid w:val="00B32CE7"/>
    <w:rsid w:val="00B34357"/>
    <w:rsid w:val="00B34555"/>
    <w:rsid w:val="00B35D78"/>
    <w:rsid w:val="00B362F6"/>
    <w:rsid w:val="00B365A6"/>
    <w:rsid w:val="00B365BF"/>
    <w:rsid w:val="00B379D8"/>
    <w:rsid w:val="00B40062"/>
    <w:rsid w:val="00B40D3B"/>
    <w:rsid w:val="00B4256D"/>
    <w:rsid w:val="00B42E9F"/>
    <w:rsid w:val="00B43131"/>
    <w:rsid w:val="00B4315B"/>
    <w:rsid w:val="00B446CA"/>
    <w:rsid w:val="00B447AB"/>
    <w:rsid w:val="00B45501"/>
    <w:rsid w:val="00B462F0"/>
    <w:rsid w:val="00B46F8D"/>
    <w:rsid w:val="00B519F5"/>
    <w:rsid w:val="00B51B76"/>
    <w:rsid w:val="00B5265B"/>
    <w:rsid w:val="00B53EE6"/>
    <w:rsid w:val="00B5449B"/>
    <w:rsid w:val="00B5459C"/>
    <w:rsid w:val="00B56577"/>
    <w:rsid w:val="00B577C9"/>
    <w:rsid w:val="00B603E2"/>
    <w:rsid w:val="00B60D87"/>
    <w:rsid w:val="00B613D6"/>
    <w:rsid w:val="00B61429"/>
    <w:rsid w:val="00B61488"/>
    <w:rsid w:val="00B625A6"/>
    <w:rsid w:val="00B628C0"/>
    <w:rsid w:val="00B63163"/>
    <w:rsid w:val="00B63878"/>
    <w:rsid w:val="00B63E6F"/>
    <w:rsid w:val="00B65B97"/>
    <w:rsid w:val="00B65BBB"/>
    <w:rsid w:val="00B660D6"/>
    <w:rsid w:val="00B660E0"/>
    <w:rsid w:val="00B66CB5"/>
    <w:rsid w:val="00B671E2"/>
    <w:rsid w:val="00B677C7"/>
    <w:rsid w:val="00B70A8C"/>
    <w:rsid w:val="00B7158D"/>
    <w:rsid w:val="00B72439"/>
    <w:rsid w:val="00B74BAA"/>
    <w:rsid w:val="00B7512A"/>
    <w:rsid w:val="00B758D2"/>
    <w:rsid w:val="00B76115"/>
    <w:rsid w:val="00B768FA"/>
    <w:rsid w:val="00B76DF9"/>
    <w:rsid w:val="00B80A16"/>
    <w:rsid w:val="00B816F8"/>
    <w:rsid w:val="00B82221"/>
    <w:rsid w:val="00B82528"/>
    <w:rsid w:val="00B829B3"/>
    <w:rsid w:val="00B83453"/>
    <w:rsid w:val="00B90948"/>
    <w:rsid w:val="00B911D1"/>
    <w:rsid w:val="00B913CF"/>
    <w:rsid w:val="00B919A0"/>
    <w:rsid w:val="00B91D0D"/>
    <w:rsid w:val="00B927B5"/>
    <w:rsid w:val="00B92E27"/>
    <w:rsid w:val="00B93489"/>
    <w:rsid w:val="00B958D0"/>
    <w:rsid w:val="00B9590C"/>
    <w:rsid w:val="00B95DB2"/>
    <w:rsid w:val="00B95DFF"/>
    <w:rsid w:val="00B95F85"/>
    <w:rsid w:val="00B96C72"/>
    <w:rsid w:val="00B971BE"/>
    <w:rsid w:val="00BA10D1"/>
    <w:rsid w:val="00BA1A7C"/>
    <w:rsid w:val="00BA1F82"/>
    <w:rsid w:val="00BA33CC"/>
    <w:rsid w:val="00BA3A89"/>
    <w:rsid w:val="00BA4204"/>
    <w:rsid w:val="00BA43EC"/>
    <w:rsid w:val="00BA4863"/>
    <w:rsid w:val="00BA4A3D"/>
    <w:rsid w:val="00BA56E2"/>
    <w:rsid w:val="00BA6159"/>
    <w:rsid w:val="00BA68D2"/>
    <w:rsid w:val="00BA6B62"/>
    <w:rsid w:val="00BA7171"/>
    <w:rsid w:val="00BB1474"/>
    <w:rsid w:val="00BB1769"/>
    <w:rsid w:val="00BB1A06"/>
    <w:rsid w:val="00BB36EE"/>
    <w:rsid w:val="00BB5FE4"/>
    <w:rsid w:val="00BB6142"/>
    <w:rsid w:val="00BB78F6"/>
    <w:rsid w:val="00BC0580"/>
    <w:rsid w:val="00BC0A7B"/>
    <w:rsid w:val="00BC0F54"/>
    <w:rsid w:val="00BC143E"/>
    <w:rsid w:val="00BC191B"/>
    <w:rsid w:val="00BC1A19"/>
    <w:rsid w:val="00BC1FA8"/>
    <w:rsid w:val="00BC2368"/>
    <w:rsid w:val="00BC27DF"/>
    <w:rsid w:val="00BC3995"/>
    <w:rsid w:val="00BC3BAC"/>
    <w:rsid w:val="00BC472E"/>
    <w:rsid w:val="00BC4C99"/>
    <w:rsid w:val="00BC6457"/>
    <w:rsid w:val="00BD0BDC"/>
    <w:rsid w:val="00BD14AE"/>
    <w:rsid w:val="00BD1B54"/>
    <w:rsid w:val="00BD34B4"/>
    <w:rsid w:val="00BD38F5"/>
    <w:rsid w:val="00BD4057"/>
    <w:rsid w:val="00BD4762"/>
    <w:rsid w:val="00BD5233"/>
    <w:rsid w:val="00BD5A64"/>
    <w:rsid w:val="00BD5CAC"/>
    <w:rsid w:val="00BD5F5A"/>
    <w:rsid w:val="00BD6497"/>
    <w:rsid w:val="00BD66EB"/>
    <w:rsid w:val="00BD69F2"/>
    <w:rsid w:val="00BD7140"/>
    <w:rsid w:val="00BD7850"/>
    <w:rsid w:val="00BE0FD5"/>
    <w:rsid w:val="00BE172F"/>
    <w:rsid w:val="00BE2711"/>
    <w:rsid w:val="00BE2E74"/>
    <w:rsid w:val="00BE4735"/>
    <w:rsid w:val="00BE4A8D"/>
    <w:rsid w:val="00BE4CEA"/>
    <w:rsid w:val="00BE4DAF"/>
    <w:rsid w:val="00BE55AD"/>
    <w:rsid w:val="00BE57F2"/>
    <w:rsid w:val="00BE5D73"/>
    <w:rsid w:val="00BE5FE0"/>
    <w:rsid w:val="00BE62F0"/>
    <w:rsid w:val="00BE68C8"/>
    <w:rsid w:val="00BE6ABA"/>
    <w:rsid w:val="00BE6ECC"/>
    <w:rsid w:val="00BE6F2D"/>
    <w:rsid w:val="00BE798F"/>
    <w:rsid w:val="00BE7DAF"/>
    <w:rsid w:val="00BF1A0D"/>
    <w:rsid w:val="00BF2FF6"/>
    <w:rsid w:val="00BF3241"/>
    <w:rsid w:val="00BF3A68"/>
    <w:rsid w:val="00BF41C4"/>
    <w:rsid w:val="00BF45C3"/>
    <w:rsid w:val="00BF511A"/>
    <w:rsid w:val="00BF6677"/>
    <w:rsid w:val="00BF78B6"/>
    <w:rsid w:val="00C025C6"/>
    <w:rsid w:val="00C026BE"/>
    <w:rsid w:val="00C04AA1"/>
    <w:rsid w:val="00C050E6"/>
    <w:rsid w:val="00C055E5"/>
    <w:rsid w:val="00C0560A"/>
    <w:rsid w:val="00C05E22"/>
    <w:rsid w:val="00C069DB"/>
    <w:rsid w:val="00C069FD"/>
    <w:rsid w:val="00C06A7B"/>
    <w:rsid w:val="00C070E0"/>
    <w:rsid w:val="00C07A7A"/>
    <w:rsid w:val="00C109A3"/>
    <w:rsid w:val="00C129BF"/>
    <w:rsid w:val="00C129D0"/>
    <w:rsid w:val="00C15303"/>
    <w:rsid w:val="00C157B8"/>
    <w:rsid w:val="00C15A04"/>
    <w:rsid w:val="00C16745"/>
    <w:rsid w:val="00C17121"/>
    <w:rsid w:val="00C173F1"/>
    <w:rsid w:val="00C20979"/>
    <w:rsid w:val="00C21088"/>
    <w:rsid w:val="00C21AB0"/>
    <w:rsid w:val="00C22204"/>
    <w:rsid w:val="00C24413"/>
    <w:rsid w:val="00C24709"/>
    <w:rsid w:val="00C247C1"/>
    <w:rsid w:val="00C260D2"/>
    <w:rsid w:val="00C26542"/>
    <w:rsid w:val="00C276A5"/>
    <w:rsid w:val="00C2783C"/>
    <w:rsid w:val="00C300D7"/>
    <w:rsid w:val="00C307E6"/>
    <w:rsid w:val="00C30CEA"/>
    <w:rsid w:val="00C31C74"/>
    <w:rsid w:val="00C31CF8"/>
    <w:rsid w:val="00C323C3"/>
    <w:rsid w:val="00C3246D"/>
    <w:rsid w:val="00C34CE9"/>
    <w:rsid w:val="00C34CF2"/>
    <w:rsid w:val="00C34D96"/>
    <w:rsid w:val="00C35D10"/>
    <w:rsid w:val="00C36E6D"/>
    <w:rsid w:val="00C372C4"/>
    <w:rsid w:val="00C3736C"/>
    <w:rsid w:val="00C4062B"/>
    <w:rsid w:val="00C4093B"/>
    <w:rsid w:val="00C41839"/>
    <w:rsid w:val="00C41A97"/>
    <w:rsid w:val="00C41F35"/>
    <w:rsid w:val="00C42BBD"/>
    <w:rsid w:val="00C44BEB"/>
    <w:rsid w:val="00C4673E"/>
    <w:rsid w:val="00C46E8A"/>
    <w:rsid w:val="00C471C9"/>
    <w:rsid w:val="00C50258"/>
    <w:rsid w:val="00C514A6"/>
    <w:rsid w:val="00C515CA"/>
    <w:rsid w:val="00C51C81"/>
    <w:rsid w:val="00C52321"/>
    <w:rsid w:val="00C52931"/>
    <w:rsid w:val="00C52C29"/>
    <w:rsid w:val="00C530D7"/>
    <w:rsid w:val="00C53AAF"/>
    <w:rsid w:val="00C55106"/>
    <w:rsid w:val="00C552D4"/>
    <w:rsid w:val="00C565CE"/>
    <w:rsid w:val="00C56679"/>
    <w:rsid w:val="00C56EA7"/>
    <w:rsid w:val="00C57244"/>
    <w:rsid w:val="00C57C4C"/>
    <w:rsid w:val="00C57D61"/>
    <w:rsid w:val="00C57F8D"/>
    <w:rsid w:val="00C629E5"/>
    <w:rsid w:val="00C662B9"/>
    <w:rsid w:val="00C6783C"/>
    <w:rsid w:val="00C70B17"/>
    <w:rsid w:val="00C70CD9"/>
    <w:rsid w:val="00C710A1"/>
    <w:rsid w:val="00C71352"/>
    <w:rsid w:val="00C72D0F"/>
    <w:rsid w:val="00C74F92"/>
    <w:rsid w:val="00C75531"/>
    <w:rsid w:val="00C7637B"/>
    <w:rsid w:val="00C80925"/>
    <w:rsid w:val="00C82C24"/>
    <w:rsid w:val="00C8362C"/>
    <w:rsid w:val="00C83BC1"/>
    <w:rsid w:val="00C83E27"/>
    <w:rsid w:val="00C85164"/>
    <w:rsid w:val="00C85B36"/>
    <w:rsid w:val="00C87ED8"/>
    <w:rsid w:val="00C90533"/>
    <w:rsid w:val="00C90542"/>
    <w:rsid w:val="00C90888"/>
    <w:rsid w:val="00C90F63"/>
    <w:rsid w:val="00C92145"/>
    <w:rsid w:val="00C9259D"/>
    <w:rsid w:val="00C92B47"/>
    <w:rsid w:val="00C93B13"/>
    <w:rsid w:val="00C94567"/>
    <w:rsid w:val="00C947FD"/>
    <w:rsid w:val="00C95DDB"/>
    <w:rsid w:val="00C95E9A"/>
    <w:rsid w:val="00C960D2"/>
    <w:rsid w:val="00C96B19"/>
    <w:rsid w:val="00CA0A10"/>
    <w:rsid w:val="00CA10DF"/>
    <w:rsid w:val="00CA2569"/>
    <w:rsid w:val="00CA339D"/>
    <w:rsid w:val="00CA384B"/>
    <w:rsid w:val="00CA48D4"/>
    <w:rsid w:val="00CA7A3D"/>
    <w:rsid w:val="00CB06C9"/>
    <w:rsid w:val="00CB0BB4"/>
    <w:rsid w:val="00CB0CBE"/>
    <w:rsid w:val="00CB258B"/>
    <w:rsid w:val="00CB3110"/>
    <w:rsid w:val="00CB3B4F"/>
    <w:rsid w:val="00CB3C08"/>
    <w:rsid w:val="00CB4CD8"/>
    <w:rsid w:val="00CB5439"/>
    <w:rsid w:val="00CB5467"/>
    <w:rsid w:val="00CB620F"/>
    <w:rsid w:val="00CC0260"/>
    <w:rsid w:val="00CC0982"/>
    <w:rsid w:val="00CC1D8E"/>
    <w:rsid w:val="00CC2A14"/>
    <w:rsid w:val="00CC2AE4"/>
    <w:rsid w:val="00CC4047"/>
    <w:rsid w:val="00CC4E99"/>
    <w:rsid w:val="00CC52D3"/>
    <w:rsid w:val="00CC5366"/>
    <w:rsid w:val="00CC5FC0"/>
    <w:rsid w:val="00CC62A0"/>
    <w:rsid w:val="00CC6BAF"/>
    <w:rsid w:val="00CC6EDA"/>
    <w:rsid w:val="00CC705C"/>
    <w:rsid w:val="00CC785D"/>
    <w:rsid w:val="00CD0090"/>
    <w:rsid w:val="00CD101B"/>
    <w:rsid w:val="00CD192A"/>
    <w:rsid w:val="00CD1F10"/>
    <w:rsid w:val="00CD355B"/>
    <w:rsid w:val="00CD3FE4"/>
    <w:rsid w:val="00CD4242"/>
    <w:rsid w:val="00CD4994"/>
    <w:rsid w:val="00CD4B8F"/>
    <w:rsid w:val="00CD4C13"/>
    <w:rsid w:val="00CD51E4"/>
    <w:rsid w:val="00CD5262"/>
    <w:rsid w:val="00CD571B"/>
    <w:rsid w:val="00CD5B2D"/>
    <w:rsid w:val="00CD7E58"/>
    <w:rsid w:val="00CE0B20"/>
    <w:rsid w:val="00CE1A59"/>
    <w:rsid w:val="00CE202E"/>
    <w:rsid w:val="00CE20AD"/>
    <w:rsid w:val="00CE25A8"/>
    <w:rsid w:val="00CE2E9B"/>
    <w:rsid w:val="00CE3200"/>
    <w:rsid w:val="00CE529A"/>
    <w:rsid w:val="00CE7FA4"/>
    <w:rsid w:val="00CF1863"/>
    <w:rsid w:val="00CF25C1"/>
    <w:rsid w:val="00CF341A"/>
    <w:rsid w:val="00CF40FB"/>
    <w:rsid w:val="00CF4D47"/>
    <w:rsid w:val="00CF5806"/>
    <w:rsid w:val="00CF5A20"/>
    <w:rsid w:val="00CF6D0E"/>
    <w:rsid w:val="00CF75E8"/>
    <w:rsid w:val="00D00B5C"/>
    <w:rsid w:val="00D01351"/>
    <w:rsid w:val="00D01509"/>
    <w:rsid w:val="00D01A6C"/>
    <w:rsid w:val="00D02367"/>
    <w:rsid w:val="00D028B6"/>
    <w:rsid w:val="00D03260"/>
    <w:rsid w:val="00D03333"/>
    <w:rsid w:val="00D0455A"/>
    <w:rsid w:val="00D06776"/>
    <w:rsid w:val="00D074CF"/>
    <w:rsid w:val="00D079B0"/>
    <w:rsid w:val="00D07FB5"/>
    <w:rsid w:val="00D108CF"/>
    <w:rsid w:val="00D10AA1"/>
    <w:rsid w:val="00D118DB"/>
    <w:rsid w:val="00D118FD"/>
    <w:rsid w:val="00D119B2"/>
    <w:rsid w:val="00D12125"/>
    <w:rsid w:val="00D12A9B"/>
    <w:rsid w:val="00D13643"/>
    <w:rsid w:val="00D14D7E"/>
    <w:rsid w:val="00D15FBA"/>
    <w:rsid w:val="00D2218A"/>
    <w:rsid w:val="00D2325B"/>
    <w:rsid w:val="00D23BA2"/>
    <w:rsid w:val="00D246A3"/>
    <w:rsid w:val="00D25A0B"/>
    <w:rsid w:val="00D26A5B"/>
    <w:rsid w:val="00D26C1F"/>
    <w:rsid w:val="00D27BED"/>
    <w:rsid w:val="00D30C19"/>
    <w:rsid w:val="00D31C9E"/>
    <w:rsid w:val="00D31DB0"/>
    <w:rsid w:val="00D33316"/>
    <w:rsid w:val="00D34697"/>
    <w:rsid w:val="00D34E6A"/>
    <w:rsid w:val="00D3696B"/>
    <w:rsid w:val="00D36DC2"/>
    <w:rsid w:val="00D37F33"/>
    <w:rsid w:val="00D40404"/>
    <w:rsid w:val="00D405DC"/>
    <w:rsid w:val="00D42B01"/>
    <w:rsid w:val="00D42E06"/>
    <w:rsid w:val="00D43566"/>
    <w:rsid w:val="00D441BD"/>
    <w:rsid w:val="00D441EE"/>
    <w:rsid w:val="00D464CB"/>
    <w:rsid w:val="00D46645"/>
    <w:rsid w:val="00D50464"/>
    <w:rsid w:val="00D53084"/>
    <w:rsid w:val="00D53313"/>
    <w:rsid w:val="00D54CD9"/>
    <w:rsid w:val="00D55AB9"/>
    <w:rsid w:val="00D55D1E"/>
    <w:rsid w:val="00D55E0F"/>
    <w:rsid w:val="00D56467"/>
    <w:rsid w:val="00D56A27"/>
    <w:rsid w:val="00D57C35"/>
    <w:rsid w:val="00D6042A"/>
    <w:rsid w:val="00D6168E"/>
    <w:rsid w:val="00D61925"/>
    <w:rsid w:val="00D61CBD"/>
    <w:rsid w:val="00D620F8"/>
    <w:rsid w:val="00D6250B"/>
    <w:rsid w:val="00D62B09"/>
    <w:rsid w:val="00D6347B"/>
    <w:rsid w:val="00D638C0"/>
    <w:rsid w:val="00D63C9F"/>
    <w:rsid w:val="00D64E14"/>
    <w:rsid w:val="00D64E6D"/>
    <w:rsid w:val="00D65D12"/>
    <w:rsid w:val="00D66DFA"/>
    <w:rsid w:val="00D67174"/>
    <w:rsid w:val="00D71BE1"/>
    <w:rsid w:val="00D72B9F"/>
    <w:rsid w:val="00D745AF"/>
    <w:rsid w:val="00D74CC2"/>
    <w:rsid w:val="00D7522B"/>
    <w:rsid w:val="00D75920"/>
    <w:rsid w:val="00D759E8"/>
    <w:rsid w:val="00D7654A"/>
    <w:rsid w:val="00D7668E"/>
    <w:rsid w:val="00D77829"/>
    <w:rsid w:val="00D77DAC"/>
    <w:rsid w:val="00D77ECF"/>
    <w:rsid w:val="00D80B8C"/>
    <w:rsid w:val="00D80BA3"/>
    <w:rsid w:val="00D81B81"/>
    <w:rsid w:val="00D81B9B"/>
    <w:rsid w:val="00D82CF7"/>
    <w:rsid w:val="00D83242"/>
    <w:rsid w:val="00D834A0"/>
    <w:rsid w:val="00D83D50"/>
    <w:rsid w:val="00D844EE"/>
    <w:rsid w:val="00D8538A"/>
    <w:rsid w:val="00D86863"/>
    <w:rsid w:val="00D87B83"/>
    <w:rsid w:val="00D9046B"/>
    <w:rsid w:val="00D906DD"/>
    <w:rsid w:val="00D90839"/>
    <w:rsid w:val="00D9356C"/>
    <w:rsid w:val="00D95408"/>
    <w:rsid w:val="00D966AA"/>
    <w:rsid w:val="00D976D7"/>
    <w:rsid w:val="00D97B7F"/>
    <w:rsid w:val="00DA3D95"/>
    <w:rsid w:val="00DA3EF8"/>
    <w:rsid w:val="00DA4194"/>
    <w:rsid w:val="00DA4A0D"/>
    <w:rsid w:val="00DA5ACD"/>
    <w:rsid w:val="00DB03A1"/>
    <w:rsid w:val="00DB04C7"/>
    <w:rsid w:val="00DB1608"/>
    <w:rsid w:val="00DB1ADA"/>
    <w:rsid w:val="00DB1B9F"/>
    <w:rsid w:val="00DB1FF2"/>
    <w:rsid w:val="00DB2269"/>
    <w:rsid w:val="00DB2DC2"/>
    <w:rsid w:val="00DB3D95"/>
    <w:rsid w:val="00DB53F2"/>
    <w:rsid w:val="00DB5475"/>
    <w:rsid w:val="00DB5F0C"/>
    <w:rsid w:val="00DB699D"/>
    <w:rsid w:val="00DB6EE4"/>
    <w:rsid w:val="00DB77A2"/>
    <w:rsid w:val="00DB78DD"/>
    <w:rsid w:val="00DC033E"/>
    <w:rsid w:val="00DC0DF1"/>
    <w:rsid w:val="00DC185F"/>
    <w:rsid w:val="00DC259C"/>
    <w:rsid w:val="00DC298A"/>
    <w:rsid w:val="00DC2D33"/>
    <w:rsid w:val="00DC40AD"/>
    <w:rsid w:val="00DC6D76"/>
    <w:rsid w:val="00DC707B"/>
    <w:rsid w:val="00DC72DF"/>
    <w:rsid w:val="00DD06AD"/>
    <w:rsid w:val="00DD1268"/>
    <w:rsid w:val="00DD17FB"/>
    <w:rsid w:val="00DD1A67"/>
    <w:rsid w:val="00DD1D63"/>
    <w:rsid w:val="00DD1E6C"/>
    <w:rsid w:val="00DD26A3"/>
    <w:rsid w:val="00DD3FCB"/>
    <w:rsid w:val="00DD4029"/>
    <w:rsid w:val="00DD4555"/>
    <w:rsid w:val="00DD5B70"/>
    <w:rsid w:val="00DD70F4"/>
    <w:rsid w:val="00DD72AB"/>
    <w:rsid w:val="00DD74E8"/>
    <w:rsid w:val="00DD7832"/>
    <w:rsid w:val="00DE0380"/>
    <w:rsid w:val="00DE03F4"/>
    <w:rsid w:val="00DE0A07"/>
    <w:rsid w:val="00DE135A"/>
    <w:rsid w:val="00DE2D25"/>
    <w:rsid w:val="00DE314B"/>
    <w:rsid w:val="00DE3372"/>
    <w:rsid w:val="00DE3407"/>
    <w:rsid w:val="00DE3511"/>
    <w:rsid w:val="00DE42C8"/>
    <w:rsid w:val="00DE493C"/>
    <w:rsid w:val="00DE5F4C"/>
    <w:rsid w:val="00DE6949"/>
    <w:rsid w:val="00DE6BBB"/>
    <w:rsid w:val="00DE73EB"/>
    <w:rsid w:val="00DE76F8"/>
    <w:rsid w:val="00DF01D4"/>
    <w:rsid w:val="00DF01DB"/>
    <w:rsid w:val="00DF043C"/>
    <w:rsid w:val="00DF04B1"/>
    <w:rsid w:val="00DF050E"/>
    <w:rsid w:val="00DF1398"/>
    <w:rsid w:val="00DF1EBC"/>
    <w:rsid w:val="00DF1F3F"/>
    <w:rsid w:val="00DF2D5E"/>
    <w:rsid w:val="00DF2F93"/>
    <w:rsid w:val="00DF42AA"/>
    <w:rsid w:val="00DF6879"/>
    <w:rsid w:val="00E009DE"/>
    <w:rsid w:val="00E00D6F"/>
    <w:rsid w:val="00E01417"/>
    <w:rsid w:val="00E01646"/>
    <w:rsid w:val="00E01A07"/>
    <w:rsid w:val="00E01D32"/>
    <w:rsid w:val="00E02014"/>
    <w:rsid w:val="00E025B1"/>
    <w:rsid w:val="00E03607"/>
    <w:rsid w:val="00E03822"/>
    <w:rsid w:val="00E04770"/>
    <w:rsid w:val="00E05705"/>
    <w:rsid w:val="00E05836"/>
    <w:rsid w:val="00E05883"/>
    <w:rsid w:val="00E058E0"/>
    <w:rsid w:val="00E05D5E"/>
    <w:rsid w:val="00E06773"/>
    <w:rsid w:val="00E06D94"/>
    <w:rsid w:val="00E072CD"/>
    <w:rsid w:val="00E074BE"/>
    <w:rsid w:val="00E07571"/>
    <w:rsid w:val="00E0781B"/>
    <w:rsid w:val="00E11DCA"/>
    <w:rsid w:val="00E12C9E"/>
    <w:rsid w:val="00E132C0"/>
    <w:rsid w:val="00E139EB"/>
    <w:rsid w:val="00E1465D"/>
    <w:rsid w:val="00E14DE2"/>
    <w:rsid w:val="00E14E26"/>
    <w:rsid w:val="00E15343"/>
    <w:rsid w:val="00E157C9"/>
    <w:rsid w:val="00E15B64"/>
    <w:rsid w:val="00E166B6"/>
    <w:rsid w:val="00E16DCB"/>
    <w:rsid w:val="00E17585"/>
    <w:rsid w:val="00E175E6"/>
    <w:rsid w:val="00E20D3C"/>
    <w:rsid w:val="00E218A7"/>
    <w:rsid w:val="00E21FB1"/>
    <w:rsid w:val="00E21FD5"/>
    <w:rsid w:val="00E23507"/>
    <w:rsid w:val="00E23527"/>
    <w:rsid w:val="00E24EA0"/>
    <w:rsid w:val="00E25B1A"/>
    <w:rsid w:val="00E26408"/>
    <w:rsid w:val="00E27780"/>
    <w:rsid w:val="00E303EA"/>
    <w:rsid w:val="00E30F1C"/>
    <w:rsid w:val="00E32425"/>
    <w:rsid w:val="00E32C33"/>
    <w:rsid w:val="00E33A71"/>
    <w:rsid w:val="00E33D14"/>
    <w:rsid w:val="00E34DB4"/>
    <w:rsid w:val="00E3548C"/>
    <w:rsid w:val="00E3565B"/>
    <w:rsid w:val="00E3599F"/>
    <w:rsid w:val="00E35F95"/>
    <w:rsid w:val="00E365DF"/>
    <w:rsid w:val="00E3694D"/>
    <w:rsid w:val="00E400EA"/>
    <w:rsid w:val="00E40F78"/>
    <w:rsid w:val="00E4123C"/>
    <w:rsid w:val="00E412AE"/>
    <w:rsid w:val="00E41C8B"/>
    <w:rsid w:val="00E42368"/>
    <w:rsid w:val="00E4248D"/>
    <w:rsid w:val="00E4327D"/>
    <w:rsid w:val="00E43A5E"/>
    <w:rsid w:val="00E452E0"/>
    <w:rsid w:val="00E456DC"/>
    <w:rsid w:val="00E45B49"/>
    <w:rsid w:val="00E45C9A"/>
    <w:rsid w:val="00E46097"/>
    <w:rsid w:val="00E469B4"/>
    <w:rsid w:val="00E47138"/>
    <w:rsid w:val="00E476C4"/>
    <w:rsid w:val="00E47C0E"/>
    <w:rsid w:val="00E50374"/>
    <w:rsid w:val="00E50F88"/>
    <w:rsid w:val="00E51027"/>
    <w:rsid w:val="00E52E5E"/>
    <w:rsid w:val="00E53109"/>
    <w:rsid w:val="00E5332E"/>
    <w:rsid w:val="00E54A88"/>
    <w:rsid w:val="00E54D15"/>
    <w:rsid w:val="00E555C3"/>
    <w:rsid w:val="00E557B6"/>
    <w:rsid w:val="00E55F08"/>
    <w:rsid w:val="00E56744"/>
    <w:rsid w:val="00E56A9F"/>
    <w:rsid w:val="00E5782F"/>
    <w:rsid w:val="00E615F5"/>
    <w:rsid w:val="00E61E66"/>
    <w:rsid w:val="00E634BD"/>
    <w:rsid w:val="00E635AF"/>
    <w:rsid w:val="00E63963"/>
    <w:rsid w:val="00E64C4D"/>
    <w:rsid w:val="00E65230"/>
    <w:rsid w:val="00E66023"/>
    <w:rsid w:val="00E669EC"/>
    <w:rsid w:val="00E6762B"/>
    <w:rsid w:val="00E67BDA"/>
    <w:rsid w:val="00E70F0E"/>
    <w:rsid w:val="00E72009"/>
    <w:rsid w:val="00E73284"/>
    <w:rsid w:val="00E76410"/>
    <w:rsid w:val="00E76CBD"/>
    <w:rsid w:val="00E77D94"/>
    <w:rsid w:val="00E80691"/>
    <w:rsid w:val="00E80D60"/>
    <w:rsid w:val="00E81594"/>
    <w:rsid w:val="00E82E84"/>
    <w:rsid w:val="00E84126"/>
    <w:rsid w:val="00E844C7"/>
    <w:rsid w:val="00E8519D"/>
    <w:rsid w:val="00E85310"/>
    <w:rsid w:val="00E857D6"/>
    <w:rsid w:val="00E859FF"/>
    <w:rsid w:val="00E863F0"/>
    <w:rsid w:val="00E864C5"/>
    <w:rsid w:val="00E86E63"/>
    <w:rsid w:val="00E8778D"/>
    <w:rsid w:val="00E900F5"/>
    <w:rsid w:val="00E90256"/>
    <w:rsid w:val="00E911B1"/>
    <w:rsid w:val="00E91A46"/>
    <w:rsid w:val="00E922BA"/>
    <w:rsid w:val="00E93BB9"/>
    <w:rsid w:val="00E95963"/>
    <w:rsid w:val="00E95E3C"/>
    <w:rsid w:val="00E96949"/>
    <w:rsid w:val="00E97100"/>
    <w:rsid w:val="00E9718F"/>
    <w:rsid w:val="00E9725A"/>
    <w:rsid w:val="00E97748"/>
    <w:rsid w:val="00E97B21"/>
    <w:rsid w:val="00E97F79"/>
    <w:rsid w:val="00EA0A79"/>
    <w:rsid w:val="00EA0AC2"/>
    <w:rsid w:val="00EA0AF1"/>
    <w:rsid w:val="00EA0E1A"/>
    <w:rsid w:val="00EA1090"/>
    <w:rsid w:val="00EA18C5"/>
    <w:rsid w:val="00EA1C5B"/>
    <w:rsid w:val="00EA1CC7"/>
    <w:rsid w:val="00EA2375"/>
    <w:rsid w:val="00EA289E"/>
    <w:rsid w:val="00EA2CA9"/>
    <w:rsid w:val="00EA2CE0"/>
    <w:rsid w:val="00EA2F63"/>
    <w:rsid w:val="00EA2F6B"/>
    <w:rsid w:val="00EA3A4D"/>
    <w:rsid w:val="00EA3B57"/>
    <w:rsid w:val="00EA52C2"/>
    <w:rsid w:val="00EA5C99"/>
    <w:rsid w:val="00EA6EE0"/>
    <w:rsid w:val="00EA7716"/>
    <w:rsid w:val="00EA7A7E"/>
    <w:rsid w:val="00EB0991"/>
    <w:rsid w:val="00EB2734"/>
    <w:rsid w:val="00EB3735"/>
    <w:rsid w:val="00EB462E"/>
    <w:rsid w:val="00EB4F79"/>
    <w:rsid w:val="00EB598F"/>
    <w:rsid w:val="00EB7109"/>
    <w:rsid w:val="00EB753D"/>
    <w:rsid w:val="00EB7842"/>
    <w:rsid w:val="00EC0241"/>
    <w:rsid w:val="00EC0CD6"/>
    <w:rsid w:val="00EC0DDB"/>
    <w:rsid w:val="00EC1767"/>
    <w:rsid w:val="00EC22A7"/>
    <w:rsid w:val="00EC2959"/>
    <w:rsid w:val="00EC2D36"/>
    <w:rsid w:val="00EC3FD0"/>
    <w:rsid w:val="00EC4081"/>
    <w:rsid w:val="00EC443F"/>
    <w:rsid w:val="00EC4502"/>
    <w:rsid w:val="00EC486F"/>
    <w:rsid w:val="00EC48C0"/>
    <w:rsid w:val="00EC6EA9"/>
    <w:rsid w:val="00EC7479"/>
    <w:rsid w:val="00EC7C82"/>
    <w:rsid w:val="00ED0383"/>
    <w:rsid w:val="00ED05EA"/>
    <w:rsid w:val="00ED0986"/>
    <w:rsid w:val="00ED0DD0"/>
    <w:rsid w:val="00ED1024"/>
    <w:rsid w:val="00ED2A73"/>
    <w:rsid w:val="00ED4143"/>
    <w:rsid w:val="00ED4901"/>
    <w:rsid w:val="00ED4949"/>
    <w:rsid w:val="00ED502D"/>
    <w:rsid w:val="00ED5796"/>
    <w:rsid w:val="00ED6266"/>
    <w:rsid w:val="00EE056A"/>
    <w:rsid w:val="00EE0B4F"/>
    <w:rsid w:val="00EE0BA7"/>
    <w:rsid w:val="00EE1324"/>
    <w:rsid w:val="00EE1724"/>
    <w:rsid w:val="00EE1FEB"/>
    <w:rsid w:val="00EE238B"/>
    <w:rsid w:val="00EE352F"/>
    <w:rsid w:val="00EE5520"/>
    <w:rsid w:val="00EE5F38"/>
    <w:rsid w:val="00EE6201"/>
    <w:rsid w:val="00EE75C6"/>
    <w:rsid w:val="00EF0CED"/>
    <w:rsid w:val="00EF1384"/>
    <w:rsid w:val="00EF15B3"/>
    <w:rsid w:val="00EF1756"/>
    <w:rsid w:val="00EF21FE"/>
    <w:rsid w:val="00EF229D"/>
    <w:rsid w:val="00EF4331"/>
    <w:rsid w:val="00EF5AB9"/>
    <w:rsid w:val="00EF6255"/>
    <w:rsid w:val="00EF709D"/>
    <w:rsid w:val="00EF76BF"/>
    <w:rsid w:val="00F00C24"/>
    <w:rsid w:val="00F01809"/>
    <w:rsid w:val="00F01B90"/>
    <w:rsid w:val="00F02256"/>
    <w:rsid w:val="00F04661"/>
    <w:rsid w:val="00F049D7"/>
    <w:rsid w:val="00F0503E"/>
    <w:rsid w:val="00F06867"/>
    <w:rsid w:val="00F06A01"/>
    <w:rsid w:val="00F07408"/>
    <w:rsid w:val="00F07C51"/>
    <w:rsid w:val="00F11346"/>
    <w:rsid w:val="00F11594"/>
    <w:rsid w:val="00F11623"/>
    <w:rsid w:val="00F11974"/>
    <w:rsid w:val="00F1382A"/>
    <w:rsid w:val="00F1553B"/>
    <w:rsid w:val="00F162A9"/>
    <w:rsid w:val="00F16AF7"/>
    <w:rsid w:val="00F16C47"/>
    <w:rsid w:val="00F17BAE"/>
    <w:rsid w:val="00F17C74"/>
    <w:rsid w:val="00F2003D"/>
    <w:rsid w:val="00F208CC"/>
    <w:rsid w:val="00F228DC"/>
    <w:rsid w:val="00F22D76"/>
    <w:rsid w:val="00F24415"/>
    <w:rsid w:val="00F24AE8"/>
    <w:rsid w:val="00F25314"/>
    <w:rsid w:val="00F26B41"/>
    <w:rsid w:val="00F27BED"/>
    <w:rsid w:val="00F301C3"/>
    <w:rsid w:val="00F305B4"/>
    <w:rsid w:val="00F30704"/>
    <w:rsid w:val="00F308C7"/>
    <w:rsid w:val="00F30BDE"/>
    <w:rsid w:val="00F31B3D"/>
    <w:rsid w:val="00F3241B"/>
    <w:rsid w:val="00F328B7"/>
    <w:rsid w:val="00F33551"/>
    <w:rsid w:val="00F340D5"/>
    <w:rsid w:val="00F3632E"/>
    <w:rsid w:val="00F36A04"/>
    <w:rsid w:val="00F36FE9"/>
    <w:rsid w:val="00F41970"/>
    <w:rsid w:val="00F41C79"/>
    <w:rsid w:val="00F42514"/>
    <w:rsid w:val="00F43050"/>
    <w:rsid w:val="00F4321D"/>
    <w:rsid w:val="00F4322B"/>
    <w:rsid w:val="00F44BE9"/>
    <w:rsid w:val="00F454E4"/>
    <w:rsid w:val="00F50133"/>
    <w:rsid w:val="00F50734"/>
    <w:rsid w:val="00F512A4"/>
    <w:rsid w:val="00F51FFF"/>
    <w:rsid w:val="00F52427"/>
    <w:rsid w:val="00F52BDE"/>
    <w:rsid w:val="00F52CD0"/>
    <w:rsid w:val="00F5326A"/>
    <w:rsid w:val="00F54247"/>
    <w:rsid w:val="00F54285"/>
    <w:rsid w:val="00F545EB"/>
    <w:rsid w:val="00F56D0F"/>
    <w:rsid w:val="00F578C1"/>
    <w:rsid w:val="00F579F1"/>
    <w:rsid w:val="00F57F5A"/>
    <w:rsid w:val="00F57FA6"/>
    <w:rsid w:val="00F606A0"/>
    <w:rsid w:val="00F6095A"/>
    <w:rsid w:val="00F622A7"/>
    <w:rsid w:val="00F62776"/>
    <w:rsid w:val="00F63862"/>
    <w:rsid w:val="00F646A7"/>
    <w:rsid w:val="00F65B7B"/>
    <w:rsid w:val="00F66231"/>
    <w:rsid w:val="00F66598"/>
    <w:rsid w:val="00F6664F"/>
    <w:rsid w:val="00F66C41"/>
    <w:rsid w:val="00F67359"/>
    <w:rsid w:val="00F6764F"/>
    <w:rsid w:val="00F67F4C"/>
    <w:rsid w:val="00F709C9"/>
    <w:rsid w:val="00F70BB2"/>
    <w:rsid w:val="00F71671"/>
    <w:rsid w:val="00F71BD9"/>
    <w:rsid w:val="00F72466"/>
    <w:rsid w:val="00F731AE"/>
    <w:rsid w:val="00F73A40"/>
    <w:rsid w:val="00F7400E"/>
    <w:rsid w:val="00F74B1D"/>
    <w:rsid w:val="00F74D6C"/>
    <w:rsid w:val="00F74E1D"/>
    <w:rsid w:val="00F7543D"/>
    <w:rsid w:val="00F756AB"/>
    <w:rsid w:val="00F76044"/>
    <w:rsid w:val="00F760A5"/>
    <w:rsid w:val="00F77848"/>
    <w:rsid w:val="00F77F32"/>
    <w:rsid w:val="00F80540"/>
    <w:rsid w:val="00F80A4C"/>
    <w:rsid w:val="00F813C7"/>
    <w:rsid w:val="00F81C43"/>
    <w:rsid w:val="00F82286"/>
    <w:rsid w:val="00F825FD"/>
    <w:rsid w:val="00F8316D"/>
    <w:rsid w:val="00F832C9"/>
    <w:rsid w:val="00F84F63"/>
    <w:rsid w:val="00F850AB"/>
    <w:rsid w:val="00F86202"/>
    <w:rsid w:val="00F8628D"/>
    <w:rsid w:val="00F868C3"/>
    <w:rsid w:val="00F86D2C"/>
    <w:rsid w:val="00F87641"/>
    <w:rsid w:val="00F9001B"/>
    <w:rsid w:val="00F90109"/>
    <w:rsid w:val="00F93796"/>
    <w:rsid w:val="00F9390E"/>
    <w:rsid w:val="00F93A11"/>
    <w:rsid w:val="00F93B4C"/>
    <w:rsid w:val="00F93DD2"/>
    <w:rsid w:val="00F94B36"/>
    <w:rsid w:val="00F95BB4"/>
    <w:rsid w:val="00FA0DC9"/>
    <w:rsid w:val="00FA1F3A"/>
    <w:rsid w:val="00FA2038"/>
    <w:rsid w:val="00FA2353"/>
    <w:rsid w:val="00FA2E1D"/>
    <w:rsid w:val="00FA2E88"/>
    <w:rsid w:val="00FA3BE7"/>
    <w:rsid w:val="00FA4095"/>
    <w:rsid w:val="00FA54BC"/>
    <w:rsid w:val="00FA57B0"/>
    <w:rsid w:val="00FA58A8"/>
    <w:rsid w:val="00FA60FF"/>
    <w:rsid w:val="00FA66A3"/>
    <w:rsid w:val="00FA7BA3"/>
    <w:rsid w:val="00FB0130"/>
    <w:rsid w:val="00FB1E0C"/>
    <w:rsid w:val="00FB24D0"/>
    <w:rsid w:val="00FB27C2"/>
    <w:rsid w:val="00FB2AA2"/>
    <w:rsid w:val="00FB2CA5"/>
    <w:rsid w:val="00FB3876"/>
    <w:rsid w:val="00FB42BB"/>
    <w:rsid w:val="00FB4B57"/>
    <w:rsid w:val="00FB4C3E"/>
    <w:rsid w:val="00FB5277"/>
    <w:rsid w:val="00FB622B"/>
    <w:rsid w:val="00FB642B"/>
    <w:rsid w:val="00FB6BC7"/>
    <w:rsid w:val="00FB6DB1"/>
    <w:rsid w:val="00FB7F91"/>
    <w:rsid w:val="00FC00A5"/>
    <w:rsid w:val="00FC02B2"/>
    <w:rsid w:val="00FC0BF4"/>
    <w:rsid w:val="00FC1322"/>
    <w:rsid w:val="00FC1566"/>
    <w:rsid w:val="00FC16A4"/>
    <w:rsid w:val="00FC1AE6"/>
    <w:rsid w:val="00FC1E8D"/>
    <w:rsid w:val="00FC25F8"/>
    <w:rsid w:val="00FC34F8"/>
    <w:rsid w:val="00FC3938"/>
    <w:rsid w:val="00FC41FE"/>
    <w:rsid w:val="00FC4AFC"/>
    <w:rsid w:val="00FC533F"/>
    <w:rsid w:val="00FC599E"/>
    <w:rsid w:val="00FC6037"/>
    <w:rsid w:val="00FC63FB"/>
    <w:rsid w:val="00FC793C"/>
    <w:rsid w:val="00FC7CBB"/>
    <w:rsid w:val="00FD04ED"/>
    <w:rsid w:val="00FD0CAA"/>
    <w:rsid w:val="00FD133C"/>
    <w:rsid w:val="00FD1F52"/>
    <w:rsid w:val="00FD356F"/>
    <w:rsid w:val="00FD394D"/>
    <w:rsid w:val="00FD404C"/>
    <w:rsid w:val="00FD42C0"/>
    <w:rsid w:val="00FD613C"/>
    <w:rsid w:val="00FD61FA"/>
    <w:rsid w:val="00FD6AA3"/>
    <w:rsid w:val="00FD73D5"/>
    <w:rsid w:val="00FD7612"/>
    <w:rsid w:val="00FE107E"/>
    <w:rsid w:val="00FE25CE"/>
    <w:rsid w:val="00FE3005"/>
    <w:rsid w:val="00FE35F8"/>
    <w:rsid w:val="00FE39CA"/>
    <w:rsid w:val="00FE6E05"/>
    <w:rsid w:val="00FE7D17"/>
    <w:rsid w:val="00FF0DDE"/>
    <w:rsid w:val="00FF0DFC"/>
    <w:rsid w:val="00FF1C8A"/>
    <w:rsid w:val="00FF1D91"/>
    <w:rsid w:val="00FF27E5"/>
    <w:rsid w:val="00FF2CA8"/>
    <w:rsid w:val="00FF343B"/>
    <w:rsid w:val="00FF39AD"/>
    <w:rsid w:val="00FF4798"/>
    <w:rsid w:val="00FF49E3"/>
    <w:rsid w:val="00FF55F7"/>
    <w:rsid w:val="00FF5D91"/>
    <w:rsid w:val="00FF7D77"/>
    <w:rsid w:val="00FF7DC3"/>
    <w:rsid w:val="0A087784"/>
    <w:rsid w:val="15B75780"/>
    <w:rsid w:val="175E17DF"/>
    <w:rsid w:val="3D839626"/>
    <w:rsid w:val="42A0030D"/>
    <w:rsid w:val="475D53E7"/>
    <w:rsid w:val="60578A58"/>
    <w:rsid w:val="62109DEB"/>
    <w:rsid w:val="6799BF2E"/>
    <w:rsid w:val="70674D45"/>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55A8F"/>
  <w15:chartTrackingRefBased/>
  <w15:docId w15:val="{13FF4261-41C0-450E-BDEF-DD0F692FE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475"/>
    <w:pPr>
      <w:spacing w:line="278" w:lineRule="auto"/>
    </w:pPr>
    <w:rPr>
      <w:sz w:val="24"/>
      <w:szCs w:val="24"/>
    </w:rPr>
  </w:style>
  <w:style w:type="paragraph" w:styleId="Heading1">
    <w:name w:val="heading 1"/>
    <w:basedOn w:val="Normal"/>
    <w:next w:val="Normal"/>
    <w:link w:val="Heading1Char"/>
    <w:uiPriority w:val="9"/>
    <w:qFormat/>
    <w:rsid w:val="00DB54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54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54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54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54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54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4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4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4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4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54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54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54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54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54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4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4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475"/>
    <w:rPr>
      <w:rFonts w:eastAsiaTheme="majorEastAsia" w:cstheme="majorBidi"/>
      <w:color w:val="272727" w:themeColor="text1" w:themeTint="D8"/>
    </w:rPr>
  </w:style>
  <w:style w:type="paragraph" w:styleId="Title">
    <w:name w:val="Title"/>
    <w:basedOn w:val="Normal"/>
    <w:next w:val="Normal"/>
    <w:link w:val="TitleChar"/>
    <w:uiPriority w:val="10"/>
    <w:qFormat/>
    <w:rsid w:val="00DB54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4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4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4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475"/>
    <w:pPr>
      <w:spacing w:before="160"/>
      <w:jc w:val="center"/>
    </w:pPr>
    <w:rPr>
      <w:i/>
      <w:iCs/>
      <w:color w:val="404040" w:themeColor="text1" w:themeTint="BF"/>
    </w:rPr>
  </w:style>
  <w:style w:type="character" w:customStyle="1" w:styleId="QuoteChar">
    <w:name w:val="Quote Char"/>
    <w:basedOn w:val="DefaultParagraphFont"/>
    <w:link w:val="Quote"/>
    <w:uiPriority w:val="29"/>
    <w:rsid w:val="00DB5475"/>
    <w:rPr>
      <w:i/>
      <w:iCs/>
      <w:color w:val="404040" w:themeColor="text1" w:themeTint="BF"/>
    </w:rPr>
  </w:style>
  <w:style w:type="paragraph" w:styleId="ListParagraph">
    <w:name w:val="List Paragraph"/>
    <w:aliases w:val="Bab,Source,Numbered Paragraph,Main numbered paragraph,Bullets,References,Numbered List Paragraph,123 List Paragraph,List Paragraph (numbered (a)),List Paragraph nowy,Liste 1,List_Paragraph,Multilevel para_II,List Paragraph1,Bullet paras,b"/>
    <w:basedOn w:val="Normal"/>
    <w:link w:val="ListParagraphChar"/>
    <w:uiPriority w:val="34"/>
    <w:qFormat/>
    <w:rsid w:val="00DB5475"/>
    <w:pPr>
      <w:ind w:left="720"/>
      <w:contextualSpacing/>
    </w:pPr>
  </w:style>
  <w:style w:type="character" w:styleId="IntenseEmphasis">
    <w:name w:val="Intense Emphasis"/>
    <w:basedOn w:val="DefaultParagraphFont"/>
    <w:uiPriority w:val="21"/>
    <w:qFormat/>
    <w:rsid w:val="00DB5475"/>
    <w:rPr>
      <w:i/>
      <w:iCs/>
      <w:color w:val="2F5496" w:themeColor="accent1" w:themeShade="BF"/>
    </w:rPr>
  </w:style>
  <w:style w:type="paragraph" w:styleId="IntenseQuote">
    <w:name w:val="Intense Quote"/>
    <w:basedOn w:val="Normal"/>
    <w:next w:val="Normal"/>
    <w:link w:val="IntenseQuoteChar"/>
    <w:uiPriority w:val="30"/>
    <w:qFormat/>
    <w:rsid w:val="00DB54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5475"/>
    <w:rPr>
      <w:i/>
      <w:iCs/>
      <w:color w:val="2F5496" w:themeColor="accent1" w:themeShade="BF"/>
    </w:rPr>
  </w:style>
  <w:style w:type="character" w:styleId="IntenseReference">
    <w:name w:val="Intense Reference"/>
    <w:basedOn w:val="DefaultParagraphFont"/>
    <w:uiPriority w:val="32"/>
    <w:qFormat/>
    <w:rsid w:val="00DB5475"/>
    <w:rPr>
      <w:b/>
      <w:bCs/>
      <w:smallCaps/>
      <w:color w:val="2F5496" w:themeColor="accent1" w:themeShade="BF"/>
      <w:spacing w:val="5"/>
    </w:rPr>
  </w:style>
  <w:style w:type="paragraph" w:customStyle="1" w:styleId="msonormal0">
    <w:name w:val="msonormal"/>
    <w:basedOn w:val="Normal"/>
    <w:rsid w:val="00DB5475"/>
    <w:pPr>
      <w:spacing w:before="100" w:beforeAutospacing="1" w:after="100" w:afterAutospacing="1" w:line="240" w:lineRule="auto"/>
    </w:pPr>
    <w:rPr>
      <w:rFonts w:ascii="Times New Roman" w:eastAsia="Times New Roman" w:hAnsi="Times New Roman" w:cs="Times New Roman"/>
      <w:kern w:val="0"/>
      <w:lang w:eastAsia="en-ID"/>
      <w14:ligatures w14:val="none"/>
    </w:rPr>
  </w:style>
  <w:style w:type="paragraph" w:customStyle="1" w:styleId="paragraph">
    <w:name w:val="paragraph"/>
    <w:basedOn w:val="Normal"/>
    <w:rsid w:val="00DB5475"/>
    <w:pPr>
      <w:spacing w:before="100" w:beforeAutospacing="1" w:after="100" w:afterAutospacing="1" w:line="240" w:lineRule="auto"/>
    </w:pPr>
    <w:rPr>
      <w:rFonts w:ascii="Times New Roman" w:eastAsia="Times New Roman" w:hAnsi="Times New Roman" w:cs="Times New Roman"/>
      <w:kern w:val="0"/>
      <w:lang w:eastAsia="en-ID"/>
      <w14:ligatures w14:val="none"/>
    </w:rPr>
  </w:style>
  <w:style w:type="character" w:customStyle="1" w:styleId="textrun">
    <w:name w:val="textrun"/>
    <w:basedOn w:val="DefaultParagraphFont"/>
    <w:rsid w:val="00DB5475"/>
  </w:style>
  <w:style w:type="character" w:customStyle="1" w:styleId="normaltextrun">
    <w:name w:val="normaltextrun"/>
    <w:basedOn w:val="DefaultParagraphFont"/>
    <w:rsid w:val="00DB5475"/>
  </w:style>
  <w:style w:type="character" w:customStyle="1" w:styleId="eop">
    <w:name w:val="eop"/>
    <w:basedOn w:val="DefaultParagraphFont"/>
    <w:rsid w:val="00DB5475"/>
  </w:style>
  <w:style w:type="character" w:customStyle="1" w:styleId="wacimagecontainer">
    <w:name w:val="wacimagecontainer"/>
    <w:basedOn w:val="DefaultParagraphFont"/>
    <w:rsid w:val="00DB5475"/>
  </w:style>
  <w:style w:type="character" w:customStyle="1" w:styleId="superscript">
    <w:name w:val="superscript"/>
    <w:basedOn w:val="DefaultParagraphFont"/>
    <w:rsid w:val="00DB5475"/>
  </w:style>
  <w:style w:type="character" w:customStyle="1" w:styleId="trackchangetextinsertion">
    <w:name w:val="trackchangetextinsertion"/>
    <w:basedOn w:val="DefaultParagraphFont"/>
    <w:rsid w:val="00DB5475"/>
  </w:style>
  <w:style w:type="character" w:customStyle="1" w:styleId="scxw36588346">
    <w:name w:val="scxw36588346"/>
    <w:basedOn w:val="DefaultParagraphFont"/>
    <w:rsid w:val="00DB5475"/>
  </w:style>
  <w:style w:type="character" w:customStyle="1" w:styleId="trackedchange">
    <w:name w:val="trackedchange"/>
    <w:basedOn w:val="DefaultParagraphFont"/>
    <w:rsid w:val="00DB5475"/>
  </w:style>
  <w:style w:type="paragraph" w:customStyle="1" w:styleId="outlineelement">
    <w:name w:val="outlineelement"/>
    <w:basedOn w:val="Normal"/>
    <w:rsid w:val="00DB5475"/>
    <w:pPr>
      <w:spacing w:before="100" w:beforeAutospacing="1" w:after="100" w:afterAutospacing="1" w:line="240" w:lineRule="auto"/>
    </w:pPr>
    <w:rPr>
      <w:rFonts w:ascii="Times New Roman" w:eastAsia="Times New Roman" w:hAnsi="Times New Roman" w:cs="Times New Roman"/>
      <w:kern w:val="0"/>
      <w:lang w:eastAsia="en-ID"/>
      <w14:ligatures w14:val="none"/>
    </w:rPr>
  </w:style>
  <w:style w:type="character" w:customStyle="1" w:styleId="pagebreakblob">
    <w:name w:val="pagebreakblob"/>
    <w:basedOn w:val="DefaultParagraphFont"/>
    <w:rsid w:val="00DB5475"/>
  </w:style>
  <w:style w:type="character" w:customStyle="1" w:styleId="pagebreaktextspan">
    <w:name w:val="pagebreaktextspan"/>
    <w:basedOn w:val="DefaultParagraphFont"/>
    <w:rsid w:val="00DB5475"/>
  </w:style>
  <w:style w:type="character" w:customStyle="1" w:styleId="pagebreakborderspan">
    <w:name w:val="pagebreakborderspan"/>
    <w:basedOn w:val="DefaultParagraphFont"/>
    <w:rsid w:val="00DB5475"/>
  </w:style>
  <w:style w:type="character" w:customStyle="1" w:styleId="tabrun">
    <w:name w:val="tabrun"/>
    <w:basedOn w:val="DefaultParagraphFont"/>
    <w:rsid w:val="00DB5475"/>
  </w:style>
  <w:style w:type="character" w:customStyle="1" w:styleId="tabchar">
    <w:name w:val="tabchar"/>
    <w:basedOn w:val="DefaultParagraphFont"/>
    <w:rsid w:val="00DB5475"/>
  </w:style>
  <w:style w:type="character" w:customStyle="1" w:styleId="tableaderchars">
    <w:name w:val="tableaderchars"/>
    <w:basedOn w:val="DefaultParagraphFont"/>
    <w:rsid w:val="00DB5475"/>
  </w:style>
  <w:style w:type="character" w:customStyle="1" w:styleId="trackchangetextdeletionmarker">
    <w:name w:val="trackchangetextdeletionmarker"/>
    <w:basedOn w:val="DefaultParagraphFont"/>
    <w:rsid w:val="00DB5475"/>
  </w:style>
  <w:style w:type="paragraph" w:styleId="Header">
    <w:name w:val="header"/>
    <w:basedOn w:val="Normal"/>
    <w:link w:val="HeaderChar"/>
    <w:uiPriority w:val="99"/>
    <w:unhideWhenUsed/>
    <w:rsid w:val="00DB54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475"/>
    <w:rPr>
      <w:sz w:val="24"/>
      <w:szCs w:val="24"/>
    </w:rPr>
  </w:style>
  <w:style w:type="paragraph" w:styleId="Footer">
    <w:name w:val="footer"/>
    <w:basedOn w:val="Normal"/>
    <w:link w:val="FooterChar"/>
    <w:uiPriority w:val="99"/>
    <w:unhideWhenUsed/>
    <w:rsid w:val="00DB54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475"/>
    <w:rPr>
      <w:sz w:val="24"/>
      <w:szCs w:val="24"/>
    </w:rPr>
  </w:style>
  <w:style w:type="paragraph" w:styleId="Revision">
    <w:name w:val="Revision"/>
    <w:hidden/>
    <w:uiPriority w:val="99"/>
    <w:semiHidden/>
    <w:rsid w:val="00DB5475"/>
    <w:pPr>
      <w:spacing w:after="0" w:line="240" w:lineRule="auto"/>
    </w:pPr>
    <w:rPr>
      <w:sz w:val="24"/>
      <w:szCs w:val="24"/>
    </w:rPr>
  </w:style>
  <w:style w:type="character" w:styleId="CommentReference">
    <w:name w:val="annotation reference"/>
    <w:basedOn w:val="DefaultParagraphFont"/>
    <w:uiPriority w:val="99"/>
    <w:semiHidden/>
    <w:unhideWhenUsed/>
    <w:rsid w:val="00DB5475"/>
    <w:rPr>
      <w:sz w:val="16"/>
      <w:szCs w:val="16"/>
    </w:rPr>
  </w:style>
  <w:style w:type="paragraph" w:styleId="CommentText">
    <w:name w:val="annotation text"/>
    <w:basedOn w:val="Normal"/>
    <w:link w:val="CommentTextChar"/>
    <w:uiPriority w:val="99"/>
    <w:unhideWhenUsed/>
    <w:rsid w:val="00DB5475"/>
    <w:pPr>
      <w:spacing w:line="240" w:lineRule="auto"/>
    </w:pPr>
    <w:rPr>
      <w:sz w:val="20"/>
      <w:szCs w:val="20"/>
    </w:rPr>
  </w:style>
  <w:style w:type="character" w:customStyle="1" w:styleId="CommentTextChar">
    <w:name w:val="Comment Text Char"/>
    <w:basedOn w:val="DefaultParagraphFont"/>
    <w:link w:val="CommentText"/>
    <w:uiPriority w:val="99"/>
    <w:rsid w:val="00DB5475"/>
    <w:rPr>
      <w:sz w:val="20"/>
      <w:szCs w:val="20"/>
    </w:rPr>
  </w:style>
  <w:style w:type="paragraph" w:styleId="CommentSubject">
    <w:name w:val="annotation subject"/>
    <w:basedOn w:val="CommentText"/>
    <w:next w:val="CommentText"/>
    <w:link w:val="CommentSubjectChar"/>
    <w:uiPriority w:val="99"/>
    <w:semiHidden/>
    <w:unhideWhenUsed/>
    <w:rsid w:val="00DB5475"/>
    <w:rPr>
      <w:b/>
      <w:bCs/>
    </w:rPr>
  </w:style>
  <w:style w:type="character" w:customStyle="1" w:styleId="CommentSubjectChar">
    <w:name w:val="Comment Subject Char"/>
    <w:basedOn w:val="CommentTextChar"/>
    <w:link w:val="CommentSubject"/>
    <w:uiPriority w:val="99"/>
    <w:semiHidden/>
    <w:rsid w:val="00DB5475"/>
    <w:rPr>
      <w:b/>
      <w:bCs/>
      <w:sz w:val="20"/>
      <w:szCs w:val="20"/>
    </w:rPr>
  </w:style>
  <w:style w:type="character" w:customStyle="1" w:styleId="ListParagraphChar">
    <w:name w:val="List Paragraph Char"/>
    <w:aliases w:val="Bab Char,Source Char,Numbered Paragraph Char,Main numbered paragraph Char,Bullets Char,References Char,Numbered List Paragraph Char,123 List Paragraph Char,List Paragraph (numbered (a)) Char,List Paragraph nowy Char,Liste 1 Char"/>
    <w:link w:val="ListParagraph"/>
    <w:uiPriority w:val="34"/>
    <w:qFormat/>
    <w:locked/>
    <w:rsid w:val="00DB5475"/>
  </w:style>
  <w:style w:type="paragraph" w:styleId="NoSpacing">
    <w:name w:val="No Spacing"/>
    <w:uiPriority w:val="1"/>
    <w:qFormat/>
    <w:rsid w:val="00DB5475"/>
    <w:pPr>
      <w:spacing w:after="0" w:line="240" w:lineRule="auto"/>
    </w:pPr>
    <w:rPr>
      <w:sz w:val="24"/>
      <w:szCs w:val="24"/>
    </w:rPr>
  </w:style>
  <w:style w:type="character" w:styleId="Hyperlink">
    <w:name w:val="Hyperlink"/>
    <w:basedOn w:val="DefaultParagraphFont"/>
    <w:uiPriority w:val="99"/>
    <w:unhideWhenUsed/>
    <w:rsid w:val="00DB5475"/>
    <w:rPr>
      <w:color w:val="0563C1" w:themeColor="hyperlink"/>
      <w:u w:val="single"/>
    </w:rPr>
  </w:style>
  <w:style w:type="character" w:styleId="UnresolvedMention">
    <w:name w:val="Unresolved Mention"/>
    <w:basedOn w:val="DefaultParagraphFont"/>
    <w:uiPriority w:val="99"/>
    <w:semiHidden/>
    <w:unhideWhenUsed/>
    <w:rsid w:val="00DB5475"/>
    <w:rPr>
      <w:color w:val="605E5C"/>
      <w:shd w:val="clear" w:color="auto" w:fill="E1DFDD"/>
    </w:rPr>
  </w:style>
  <w:style w:type="paragraph" w:styleId="NormalWeb">
    <w:name w:val="Normal (Web)"/>
    <w:basedOn w:val="Normal"/>
    <w:uiPriority w:val="99"/>
    <w:unhideWhenUsed/>
    <w:rsid w:val="00DB5475"/>
    <w:pPr>
      <w:spacing w:before="100" w:beforeAutospacing="1" w:after="100" w:afterAutospacing="1" w:line="240" w:lineRule="auto"/>
    </w:pPr>
    <w:rPr>
      <w:rFonts w:ascii="Times New Roman" w:eastAsiaTheme="minorEastAsia" w:hAnsi="Times New Roman" w:cs="Times New Roman"/>
      <w:kern w:val="0"/>
      <w:lang w:val="en-US"/>
      <w14:ligatures w14:val="none"/>
    </w:rPr>
  </w:style>
  <w:style w:type="paragraph" w:styleId="BodyText">
    <w:name w:val="Body Text"/>
    <w:basedOn w:val="Normal"/>
    <w:link w:val="BodyTextChar"/>
    <w:uiPriority w:val="1"/>
    <w:unhideWhenUsed/>
    <w:qFormat/>
    <w:rsid w:val="00DB5475"/>
    <w:pPr>
      <w:widowControl w:val="0"/>
      <w:autoSpaceDE w:val="0"/>
      <w:autoSpaceDN w:val="0"/>
      <w:spacing w:after="0" w:line="240" w:lineRule="auto"/>
      <w:jc w:val="both"/>
    </w:pPr>
    <w:rPr>
      <w:rFonts w:ascii="Cambria" w:eastAsia="Cambria" w:hAnsi="Cambria" w:cs="Cambria"/>
      <w:kern w:val="0"/>
      <w:sz w:val="22"/>
      <w:szCs w:val="22"/>
      <w14:ligatures w14:val="none"/>
    </w:rPr>
  </w:style>
  <w:style w:type="character" w:customStyle="1" w:styleId="BodyTextChar">
    <w:name w:val="Body Text Char"/>
    <w:basedOn w:val="DefaultParagraphFont"/>
    <w:link w:val="BodyText"/>
    <w:uiPriority w:val="1"/>
    <w:rsid w:val="00DB5475"/>
    <w:rPr>
      <w:rFonts w:ascii="Cambria" w:eastAsia="Cambria" w:hAnsi="Cambria" w:cs="Cambria"/>
      <w:kern w:val="0"/>
      <w14:ligatures w14:val="none"/>
    </w:rPr>
  </w:style>
  <w:style w:type="paragraph" w:customStyle="1" w:styleId="TableParagraph">
    <w:name w:val="Table Paragraph"/>
    <w:basedOn w:val="Normal"/>
    <w:uiPriority w:val="1"/>
    <w:qFormat/>
    <w:rsid w:val="00DB5475"/>
    <w:pPr>
      <w:widowControl w:val="0"/>
      <w:autoSpaceDE w:val="0"/>
      <w:autoSpaceDN w:val="0"/>
      <w:spacing w:after="0" w:line="240" w:lineRule="auto"/>
    </w:pPr>
    <w:rPr>
      <w:rFonts w:ascii="Calibri" w:eastAsia="Calibri" w:hAnsi="Calibri" w:cs="Calibri"/>
      <w:kern w:val="0"/>
      <w:sz w:val="22"/>
      <w:szCs w:val="22"/>
      <w:lang w:val="id"/>
      <w14:ligatures w14:val="none"/>
    </w:rPr>
  </w:style>
  <w:style w:type="paragraph" w:styleId="BalloonText">
    <w:name w:val="Balloon Text"/>
    <w:basedOn w:val="Normal"/>
    <w:link w:val="BalloonTextChar"/>
    <w:uiPriority w:val="99"/>
    <w:semiHidden/>
    <w:unhideWhenUsed/>
    <w:rsid w:val="00DB54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475"/>
    <w:rPr>
      <w:rFonts w:ascii="Segoe UI" w:hAnsi="Segoe UI" w:cs="Segoe UI"/>
      <w:sz w:val="18"/>
      <w:szCs w:val="18"/>
    </w:rPr>
  </w:style>
  <w:style w:type="paragraph" w:customStyle="1" w:styleId="xmsonormal">
    <w:name w:val="x_msonormal"/>
    <w:basedOn w:val="Normal"/>
    <w:rsid w:val="0073470A"/>
    <w:pPr>
      <w:spacing w:before="100" w:beforeAutospacing="1" w:after="100" w:afterAutospacing="1" w:line="240" w:lineRule="auto"/>
    </w:pPr>
    <w:rPr>
      <w:rFonts w:ascii="Times New Roman" w:eastAsia="Times New Roman" w:hAnsi="Times New Roman" w:cs="Times New Roman"/>
      <w:kern w:val="0"/>
      <w:lang w:eastAsia="en-ID" w:bidi="ne-NP"/>
      <w14:ligatures w14:val="none"/>
    </w:rPr>
  </w:style>
  <w:style w:type="table" w:styleId="TableGrid">
    <w:name w:val="Table Grid"/>
    <w:basedOn w:val="TableNormal"/>
    <w:uiPriority w:val="39"/>
    <w:rsid w:val="00640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64379">
      <w:bodyDiv w:val="1"/>
      <w:marLeft w:val="0"/>
      <w:marRight w:val="0"/>
      <w:marTop w:val="0"/>
      <w:marBottom w:val="0"/>
      <w:divBdr>
        <w:top w:val="none" w:sz="0" w:space="0" w:color="auto"/>
        <w:left w:val="none" w:sz="0" w:space="0" w:color="auto"/>
        <w:bottom w:val="none" w:sz="0" w:space="0" w:color="auto"/>
        <w:right w:val="none" w:sz="0" w:space="0" w:color="auto"/>
      </w:divBdr>
    </w:div>
    <w:div w:id="270284884">
      <w:bodyDiv w:val="1"/>
      <w:marLeft w:val="0"/>
      <w:marRight w:val="0"/>
      <w:marTop w:val="0"/>
      <w:marBottom w:val="0"/>
      <w:divBdr>
        <w:top w:val="none" w:sz="0" w:space="0" w:color="auto"/>
        <w:left w:val="none" w:sz="0" w:space="0" w:color="auto"/>
        <w:bottom w:val="none" w:sz="0" w:space="0" w:color="auto"/>
        <w:right w:val="none" w:sz="0" w:space="0" w:color="auto"/>
      </w:divBdr>
    </w:div>
    <w:div w:id="416751250">
      <w:bodyDiv w:val="1"/>
      <w:marLeft w:val="0"/>
      <w:marRight w:val="0"/>
      <w:marTop w:val="0"/>
      <w:marBottom w:val="0"/>
      <w:divBdr>
        <w:top w:val="none" w:sz="0" w:space="0" w:color="auto"/>
        <w:left w:val="none" w:sz="0" w:space="0" w:color="auto"/>
        <w:bottom w:val="none" w:sz="0" w:space="0" w:color="auto"/>
        <w:right w:val="none" w:sz="0" w:space="0" w:color="auto"/>
      </w:divBdr>
    </w:div>
    <w:div w:id="493034100">
      <w:bodyDiv w:val="1"/>
      <w:marLeft w:val="0"/>
      <w:marRight w:val="0"/>
      <w:marTop w:val="0"/>
      <w:marBottom w:val="0"/>
      <w:divBdr>
        <w:top w:val="none" w:sz="0" w:space="0" w:color="auto"/>
        <w:left w:val="none" w:sz="0" w:space="0" w:color="auto"/>
        <w:bottom w:val="none" w:sz="0" w:space="0" w:color="auto"/>
        <w:right w:val="none" w:sz="0" w:space="0" w:color="auto"/>
      </w:divBdr>
    </w:div>
    <w:div w:id="555968260">
      <w:bodyDiv w:val="1"/>
      <w:marLeft w:val="0"/>
      <w:marRight w:val="0"/>
      <w:marTop w:val="0"/>
      <w:marBottom w:val="0"/>
      <w:divBdr>
        <w:top w:val="none" w:sz="0" w:space="0" w:color="auto"/>
        <w:left w:val="none" w:sz="0" w:space="0" w:color="auto"/>
        <w:bottom w:val="none" w:sz="0" w:space="0" w:color="auto"/>
        <w:right w:val="none" w:sz="0" w:space="0" w:color="auto"/>
      </w:divBdr>
    </w:div>
    <w:div w:id="603266477">
      <w:bodyDiv w:val="1"/>
      <w:marLeft w:val="0"/>
      <w:marRight w:val="0"/>
      <w:marTop w:val="0"/>
      <w:marBottom w:val="0"/>
      <w:divBdr>
        <w:top w:val="none" w:sz="0" w:space="0" w:color="auto"/>
        <w:left w:val="none" w:sz="0" w:space="0" w:color="auto"/>
        <w:bottom w:val="none" w:sz="0" w:space="0" w:color="auto"/>
        <w:right w:val="none" w:sz="0" w:space="0" w:color="auto"/>
      </w:divBdr>
    </w:div>
    <w:div w:id="776946531">
      <w:bodyDiv w:val="1"/>
      <w:marLeft w:val="0"/>
      <w:marRight w:val="0"/>
      <w:marTop w:val="0"/>
      <w:marBottom w:val="0"/>
      <w:divBdr>
        <w:top w:val="none" w:sz="0" w:space="0" w:color="auto"/>
        <w:left w:val="none" w:sz="0" w:space="0" w:color="auto"/>
        <w:bottom w:val="none" w:sz="0" w:space="0" w:color="auto"/>
        <w:right w:val="none" w:sz="0" w:space="0" w:color="auto"/>
      </w:divBdr>
    </w:div>
    <w:div w:id="810757584">
      <w:bodyDiv w:val="1"/>
      <w:marLeft w:val="0"/>
      <w:marRight w:val="0"/>
      <w:marTop w:val="0"/>
      <w:marBottom w:val="0"/>
      <w:divBdr>
        <w:top w:val="none" w:sz="0" w:space="0" w:color="auto"/>
        <w:left w:val="none" w:sz="0" w:space="0" w:color="auto"/>
        <w:bottom w:val="none" w:sz="0" w:space="0" w:color="auto"/>
        <w:right w:val="none" w:sz="0" w:space="0" w:color="auto"/>
      </w:divBdr>
    </w:div>
    <w:div w:id="978919572">
      <w:bodyDiv w:val="1"/>
      <w:marLeft w:val="0"/>
      <w:marRight w:val="0"/>
      <w:marTop w:val="0"/>
      <w:marBottom w:val="0"/>
      <w:divBdr>
        <w:top w:val="none" w:sz="0" w:space="0" w:color="auto"/>
        <w:left w:val="none" w:sz="0" w:space="0" w:color="auto"/>
        <w:bottom w:val="none" w:sz="0" w:space="0" w:color="auto"/>
        <w:right w:val="none" w:sz="0" w:space="0" w:color="auto"/>
      </w:divBdr>
    </w:div>
    <w:div w:id="1003895987">
      <w:bodyDiv w:val="1"/>
      <w:marLeft w:val="0"/>
      <w:marRight w:val="0"/>
      <w:marTop w:val="0"/>
      <w:marBottom w:val="0"/>
      <w:divBdr>
        <w:top w:val="none" w:sz="0" w:space="0" w:color="auto"/>
        <w:left w:val="none" w:sz="0" w:space="0" w:color="auto"/>
        <w:bottom w:val="none" w:sz="0" w:space="0" w:color="auto"/>
        <w:right w:val="none" w:sz="0" w:space="0" w:color="auto"/>
      </w:divBdr>
    </w:div>
    <w:div w:id="1010907147">
      <w:bodyDiv w:val="1"/>
      <w:marLeft w:val="0"/>
      <w:marRight w:val="0"/>
      <w:marTop w:val="0"/>
      <w:marBottom w:val="0"/>
      <w:divBdr>
        <w:top w:val="none" w:sz="0" w:space="0" w:color="auto"/>
        <w:left w:val="none" w:sz="0" w:space="0" w:color="auto"/>
        <w:bottom w:val="none" w:sz="0" w:space="0" w:color="auto"/>
        <w:right w:val="none" w:sz="0" w:space="0" w:color="auto"/>
      </w:divBdr>
    </w:div>
    <w:div w:id="1100103618">
      <w:bodyDiv w:val="1"/>
      <w:marLeft w:val="0"/>
      <w:marRight w:val="0"/>
      <w:marTop w:val="0"/>
      <w:marBottom w:val="0"/>
      <w:divBdr>
        <w:top w:val="none" w:sz="0" w:space="0" w:color="auto"/>
        <w:left w:val="none" w:sz="0" w:space="0" w:color="auto"/>
        <w:bottom w:val="none" w:sz="0" w:space="0" w:color="auto"/>
        <w:right w:val="none" w:sz="0" w:space="0" w:color="auto"/>
      </w:divBdr>
    </w:div>
    <w:div w:id="1116172622">
      <w:bodyDiv w:val="1"/>
      <w:marLeft w:val="0"/>
      <w:marRight w:val="0"/>
      <w:marTop w:val="0"/>
      <w:marBottom w:val="0"/>
      <w:divBdr>
        <w:top w:val="none" w:sz="0" w:space="0" w:color="auto"/>
        <w:left w:val="none" w:sz="0" w:space="0" w:color="auto"/>
        <w:bottom w:val="none" w:sz="0" w:space="0" w:color="auto"/>
        <w:right w:val="none" w:sz="0" w:space="0" w:color="auto"/>
      </w:divBdr>
    </w:div>
    <w:div w:id="1209025020">
      <w:bodyDiv w:val="1"/>
      <w:marLeft w:val="0"/>
      <w:marRight w:val="0"/>
      <w:marTop w:val="0"/>
      <w:marBottom w:val="0"/>
      <w:divBdr>
        <w:top w:val="none" w:sz="0" w:space="0" w:color="auto"/>
        <w:left w:val="none" w:sz="0" w:space="0" w:color="auto"/>
        <w:bottom w:val="none" w:sz="0" w:space="0" w:color="auto"/>
        <w:right w:val="none" w:sz="0" w:space="0" w:color="auto"/>
      </w:divBdr>
    </w:div>
    <w:div w:id="1539276360">
      <w:bodyDiv w:val="1"/>
      <w:marLeft w:val="0"/>
      <w:marRight w:val="0"/>
      <w:marTop w:val="0"/>
      <w:marBottom w:val="0"/>
      <w:divBdr>
        <w:top w:val="none" w:sz="0" w:space="0" w:color="auto"/>
        <w:left w:val="none" w:sz="0" w:space="0" w:color="auto"/>
        <w:bottom w:val="none" w:sz="0" w:space="0" w:color="auto"/>
        <w:right w:val="none" w:sz="0" w:space="0" w:color="auto"/>
      </w:divBdr>
    </w:div>
    <w:div w:id="1611089489">
      <w:bodyDiv w:val="1"/>
      <w:marLeft w:val="0"/>
      <w:marRight w:val="0"/>
      <w:marTop w:val="0"/>
      <w:marBottom w:val="0"/>
      <w:divBdr>
        <w:top w:val="none" w:sz="0" w:space="0" w:color="auto"/>
        <w:left w:val="none" w:sz="0" w:space="0" w:color="auto"/>
        <w:bottom w:val="none" w:sz="0" w:space="0" w:color="auto"/>
        <w:right w:val="none" w:sz="0" w:space="0" w:color="auto"/>
      </w:divBdr>
    </w:div>
    <w:div w:id="1642731885">
      <w:bodyDiv w:val="1"/>
      <w:marLeft w:val="0"/>
      <w:marRight w:val="0"/>
      <w:marTop w:val="0"/>
      <w:marBottom w:val="0"/>
      <w:divBdr>
        <w:top w:val="none" w:sz="0" w:space="0" w:color="auto"/>
        <w:left w:val="none" w:sz="0" w:space="0" w:color="auto"/>
        <w:bottom w:val="none" w:sz="0" w:space="0" w:color="auto"/>
        <w:right w:val="none" w:sz="0" w:space="0" w:color="auto"/>
      </w:divBdr>
    </w:div>
    <w:div w:id="1685548834">
      <w:bodyDiv w:val="1"/>
      <w:marLeft w:val="0"/>
      <w:marRight w:val="0"/>
      <w:marTop w:val="0"/>
      <w:marBottom w:val="0"/>
      <w:divBdr>
        <w:top w:val="none" w:sz="0" w:space="0" w:color="auto"/>
        <w:left w:val="none" w:sz="0" w:space="0" w:color="auto"/>
        <w:bottom w:val="none" w:sz="0" w:space="0" w:color="auto"/>
        <w:right w:val="none" w:sz="0" w:space="0" w:color="auto"/>
      </w:divBdr>
    </w:div>
    <w:div w:id="1686517028">
      <w:bodyDiv w:val="1"/>
      <w:marLeft w:val="0"/>
      <w:marRight w:val="0"/>
      <w:marTop w:val="0"/>
      <w:marBottom w:val="0"/>
      <w:divBdr>
        <w:top w:val="none" w:sz="0" w:space="0" w:color="auto"/>
        <w:left w:val="none" w:sz="0" w:space="0" w:color="auto"/>
        <w:bottom w:val="none" w:sz="0" w:space="0" w:color="auto"/>
        <w:right w:val="none" w:sz="0" w:space="0" w:color="auto"/>
      </w:divBdr>
    </w:div>
    <w:div w:id="1785229359">
      <w:bodyDiv w:val="1"/>
      <w:marLeft w:val="0"/>
      <w:marRight w:val="0"/>
      <w:marTop w:val="0"/>
      <w:marBottom w:val="0"/>
      <w:divBdr>
        <w:top w:val="none" w:sz="0" w:space="0" w:color="auto"/>
        <w:left w:val="none" w:sz="0" w:space="0" w:color="auto"/>
        <w:bottom w:val="none" w:sz="0" w:space="0" w:color="auto"/>
        <w:right w:val="none" w:sz="0" w:space="0" w:color="auto"/>
      </w:divBdr>
    </w:div>
    <w:div w:id="1805804054">
      <w:bodyDiv w:val="1"/>
      <w:marLeft w:val="0"/>
      <w:marRight w:val="0"/>
      <w:marTop w:val="0"/>
      <w:marBottom w:val="0"/>
      <w:divBdr>
        <w:top w:val="none" w:sz="0" w:space="0" w:color="auto"/>
        <w:left w:val="none" w:sz="0" w:space="0" w:color="auto"/>
        <w:bottom w:val="none" w:sz="0" w:space="0" w:color="auto"/>
        <w:right w:val="none" w:sz="0" w:space="0" w:color="auto"/>
      </w:divBdr>
    </w:div>
    <w:div w:id="1840270506">
      <w:bodyDiv w:val="1"/>
      <w:marLeft w:val="0"/>
      <w:marRight w:val="0"/>
      <w:marTop w:val="0"/>
      <w:marBottom w:val="0"/>
      <w:divBdr>
        <w:top w:val="none" w:sz="0" w:space="0" w:color="auto"/>
        <w:left w:val="none" w:sz="0" w:space="0" w:color="auto"/>
        <w:bottom w:val="none" w:sz="0" w:space="0" w:color="auto"/>
        <w:right w:val="none" w:sz="0" w:space="0" w:color="auto"/>
      </w:divBdr>
    </w:div>
    <w:div w:id="1866291175">
      <w:bodyDiv w:val="1"/>
      <w:marLeft w:val="0"/>
      <w:marRight w:val="0"/>
      <w:marTop w:val="0"/>
      <w:marBottom w:val="0"/>
      <w:divBdr>
        <w:top w:val="none" w:sz="0" w:space="0" w:color="auto"/>
        <w:left w:val="none" w:sz="0" w:space="0" w:color="auto"/>
        <w:bottom w:val="none" w:sz="0" w:space="0" w:color="auto"/>
        <w:right w:val="none" w:sz="0" w:space="0" w:color="auto"/>
      </w:divBdr>
    </w:div>
    <w:div w:id="1888104718">
      <w:bodyDiv w:val="1"/>
      <w:marLeft w:val="0"/>
      <w:marRight w:val="0"/>
      <w:marTop w:val="0"/>
      <w:marBottom w:val="0"/>
      <w:divBdr>
        <w:top w:val="none" w:sz="0" w:space="0" w:color="auto"/>
        <w:left w:val="none" w:sz="0" w:space="0" w:color="auto"/>
        <w:bottom w:val="none" w:sz="0" w:space="0" w:color="auto"/>
        <w:right w:val="none" w:sz="0" w:space="0" w:color="auto"/>
      </w:divBdr>
    </w:div>
    <w:div w:id="2002657214">
      <w:bodyDiv w:val="1"/>
      <w:marLeft w:val="0"/>
      <w:marRight w:val="0"/>
      <w:marTop w:val="0"/>
      <w:marBottom w:val="0"/>
      <w:divBdr>
        <w:top w:val="none" w:sz="0" w:space="0" w:color="auto"/>
        <w:left w:val="none" w:sz="0" w:space="0" w:color="auto"/>
        <w:bottom w:val="none" w:sz="0" w:space="0" w:color="auto"/>
        <w:right w:val="none" w:sz="0" w:space="0" w:color="auto"/>
      </w:divBdr>
    </w:div>
    <w:div w:id="2015719165">
      <w:bodyDiv w:val="1"/>
      <w:marLeft w:val="0"/>
      <w:marRight w:val="0"/>
      <w:marTop w:val="0"/>
      <w:marBottom w:val="0"/>
      <w:divBdr>
        <w:top w:val="none" w:sz="0" w:space="0" w:color="auto"/>
        <w:left w:val="none" w:sz="0" w:space="0" w:color="auto"/>
        <w:bottom w:val="none" w:sz="0" w:space="0" w:color="auto"/>
        <w:right w:val="none" w:sz="0" w:space="0" w:color="auto"/>
      </w:divBdr>
    </w:div>
    <w:div w:id="211551839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7.png"/><Relationship Id="rId18"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mailto:humas@ojk.go.i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8111</Words>
  <Characters>46236</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asti anastia</dc:creator>
  <cp:keywords/>
  <dc:description/>
  <cp:lastModifiedBy>christiansen.frisilya.p@outlook.com</cp:lastModifiedBy>
  <cp:revision>3</cp:revision>
  <cp:lastPrinted>2025-08-03T15:36:00Z</cp:lastPrinted>
  <dcterms:created xsi:type="dcterms:W3CDTF">2025-08-04T11:23:00Z</dcterms:created>
  <dcterms:modified xsi:type="dcterms:W3CDTF">2025-08-04T11:24:00Z</dcterms:modified>
</cp:coreProperties>
</file>